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C4" w:rsidRPr="00475BC4" w:rsidRDefault="00475BC4" w:rsidP="00475BC4">
      <w:pPr>
        <w:spacing w:after="0" w:line="360" w:lineRule="atLeast"/>
        <w:jc w:val="center"/>
      </w:pPr>
      <w:r w:rsidRPr="00475BC4">
        <w:rPr>
          <w:noProof/>
          <w:sz w:val="28"/>
          <w:szCs w:val="28"/>
          <w:lang w:eastAsia="el-GR"/>
        </w:rPr>
        <w:drawing>
          <wp:inline distT="0" distB="0" distL="0" distR="0" wp14:anchorId="65D2F864" wp14:editId="69900624">
            <wp:extent cx="4391025" cy="676275"/>
            <wp:effectExtent l="0" t="0" r="9525" b="9525"/>
            <wp:docPr id="2" name="Εικόνα 2" descr="INEMY_logo_TELIK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MY_logo_TELIKO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C4" w:rsidRPr="00475BC4" w:rsidRDefault="00475BC4" w:rsidP="00475BC4">
      <w:pPr>
        <w:spacing w:after="0" w:line="360" w:lineRule="atLeast"/>
        <w:jc w:val="center"/>
        <w:rPr>
          <w:rFonts w:ascii="Verdana" w:hAnsi="Verdana" w:cs="Arial"/>
          <w:b/>
        </w:rPr>
      </w:pPr>
      <w:r w:rsidRPr="00475BC4">
        <w:rPr>
          <w:rFonts w:ascii="Verdana" w:hAnsi="Verdana" w:cs="Arial"/>
          <w:b/>
        </w:rPr>
        <w:t xml:space="preserve">ΜΗΤΡΟΠΟΛΕΩΣ 42,  Τ.Κ. 105 63 - ΑΘΗΝΑ  ΤΗΛ: 210.32.59.200 </w:t>
      </w:r>
    </w:p>
    <w:p w:rsidR="00475BC4" w:rsidRPr="00475BC4" w:rsidRDefault="00475BC4" w:rsidP="00475BC4">
      <w:pPr>
        <w:spacing w:after="0" w:line="360" w:lineRule="atLeast"/>
        <w:jc w:val="center"/>
        <w:rPr>
          <w:rFonts w:ascii="Verdana" w:hAnsi="Verdana" w:cs="Arial"/>
          <w:b/>
        </w:rPr>
      </w:pPr>
      <w:r w:rsidRPr="00475BC4">
        <w:rPr>
          <w:rFonts w:ascii="Verdana" w:hAnsi="Verdana" w:cs="Arial"/>
          <w:b/>
        </w:rPr>
        <w:t>FAX: 210.32.59.209</w:t>
      </w:r>
      <w:r w:rsidRPr="00475BC4">
        <w:rPr>
          <w:rFonts w:ascii="Verdana" w:hAnsi="Verdana"/>
          <w:b/>
        </w:rPr>
        <w:t xml:space="preserve">                                                      </w:t>
      </w:r>
    </w:p>
    <w:p w:rsidR="00475BC4" w:rsidRPr="00475BC4" w:rsidRDefault="00475BC4" w:rsidP="00475BC4">
      <w:pPr>
        <w:spacing w:after="0" w:line="240" w:lineRule="auto"/>
        <w:jc w:val="center"/>
        <w:rPr>
          <w:rFonts w:ascii="Calibri Light" w:eastAsia="Calibri" w:hAnsi="Calibri Light" w:cs="Calibri Light"/>
          <w:sz w:val="24"/>
          <w:szCs w:val="24"/>
          <w:lang w:eastAsia="x-none"/>
        </w:rPr>
      </w:pPr>
    </w:p>
    <w:p w:rsidR="00475BC4" w:rsidRPr="005D4EDC" w:rsidRDefault="00475BC4" w:rsidP="005D4EDC">
      <w:pPr>
        <w:spacing w:after="0" w:line="240" w:lineRule="auto"/>
        <w:ind w:left="3600" w:firstLine="720"/>
        <w:jc w:val="center"/>
        <w:rPr>
          <w:rFonts w:ascii="Calibri Light" w:eastAsia="Calibri" w:hAnsi="Calibri Light" w:cs="Calibri Light"/>
          <w:sz w:val="26"/>
          <w:szCs w:val="26"/>
          <w:lang w:eastAsia="x-none"/>
        </w:rPr>
      </w:pPr>
      <w:r w:rsidRPr="00475BC4">
        <w:rPr>
          <w:rFonts w:ascii="Calibri Light" w:eastAsia="Calibri" w:hAnsi="Calibri Light" w:cs="Calibri Light"/>
          <w:sz w:val="26"/>
          <w:szCs w:val="26"/>
          <w:lang w:val="x-none" w:eastAsia="x-none"/>
        </w:rPr>
        <w:t xml:space="preserve">              </w:t>
      </w:r>
    </w:p>
    <w:p w:rsidR="006952AD" w:rsidRPr="00475BC4" w:rsidRDefault="006952AD" w:rsidP="006952AD">
      <w:pPr>
        <w:spacing w:after="0" w:line="240" w:lineRule="auto"/>
        <w:ind w:left="3600" w:firstLine="720"/>
        <w:jc w:val="center"/>
        <w:rPr>
          <w:rFonts w:ascii="Calibri Light" w:eastAsia="Calibri" w:hAnsi="Calibri Light" w:cs="Calibri Light"/>
          <w:b/>
          <w:sz w:val="26"/>
          <w:szCs w:val="26"/>
          <w:lang w:val="x-none" w:eastAsia="x-none"/>
        </w:rPr>
      </w:pPr>
      <w:r w:rsidRPr="00475BC4">
        <w:rPr>
          <w:rFonts w:ascii="Calibri Light" w:eastAsia="Calibri" w:hAnsi="Calibri Light" w:cs="Calibri Light"/>
          <w:sz w:val="26"/>
          <w:szCs w:val="26"/>
          <w:lang w:val="x-none" w:eastAsia="x-none"/>
        </w:rPr>
        <w:t xml:space="preserve">Αθήνα, </w:t>
      </w:r>
      <w:r>
        <w:rPr>
          <w:rFonts w:ascii="Calibri Light" w:eastAsia="Calibri" w:hAnsi="Calibri Light" w:cs="Calibri Light"/>
          <w:sz w:val="26"/>
          <w:szCs w:val="26"/>
          <w:lang w:eastAsia="x-none"/>
        </w:rPr>
        <w:t>06</w:t>
      </w:r>
      <w:r w:rsidRPr="00F705BB">
        <w:rPr>
          <w:rFonts w:ascii="Calibri Light" w:eastAsia="Calibri" w:hAnsi="Calibri Light" w:cs="Calibri Light"/>
          <w:sz w:val="26"/>
          <w:szCs w:val="26"/>
          <w:lang w:eastAsia="x-none"/>
        </w:rPr>
        <w:t xml:space="preserve"> </w:t>
      </w:r>
      <w:r w:rsidRPr="00475BC4">
        <w:rPr>
          <w:rFonts w:ascii="Calibri Light" w:eastAsia="Calibri" w:hAnsi="Calibri Light" w:cs="Calibri Light"/>
          <w:sz w:val="26"/>
          <w:szCs w:val="26"/>
          <w:lang w:val="x-none" w:eastAsia="x-none"/>
        </w:rPr>
        <w:t>Ιανουαρίου 202</w:t>
      </w:r>
      <w:r w:rsidRPr="00F705BB">
        <w:rPr>
          <w:rFonts w:ascii="Calibri Light" w:eastAsia="Calibri" w:hAnsi="Calibri Light" w:cs="Calibri Light"/>
          <w:sz w:val="26"/>
          <w:szCs w:val="26"/>
          <w:lang w:eastAsia="x-none"/>
        </w:rPr>
        <w:t>3</w:t>
      </w:r>
      <w:r w:rsidRPr="00475BC4">
        <w:rPr>
          <w:rFonts w:ascii="Calibri Light" w:eastAsia="Calibri" w:hAnsi="Calibri Light" w:cs="Calibri Light"/>
          <w:sz w:val="26"/>
          <w:szCs w:val="26"/>
          <w:lang w:val="x-none" w:eastAsia="x-none"/>
        </w:rPr>
        <w:t xml:space="preserve"> </w:t>
      </w:r>
      <w:r w:rsidRPr="00475BC4">
        <w:rPr>
          <w:rFonts w:ascii="Calibri Light" w:eastAsia="Calibri" w:hAnsi="Calibri Light" w:cs="Calibri Light"/>
          <w:b/>
          <w:sz w:val="26"/>
          <w:szCs w:val="26"/>
          <w:lang w:val="x-none" w:eastAsia="x-none"/>
        </w:rPr>
        <w:t xml:space="preserve">        </w:t>
      </w:r>
    </w:p>
    <w:p w:rsidR="006952AD" w:rsidRPr="00475BC4" w:rsidRDefault="006952AD" w:rsidP="006952AD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6"/>
          <w:szCs w:val="26"/>
          <w:lang w:val="x-none" w:eastAsia="x-none"/>
        </w:rPr>
      </w:pPr>
      <w:r w:rsidRPr="00475BC4">
        <w:rPr>
          <w:rFonts w:ascii="Calibri Light" w:eastAsia="Calibri" w:hAnsi="Calibri Light" w:cs="Calibri Light"/>
          <w:b/>
          <w:sz w:val="26"/>
          <w:szCs w:val="26"/>
          <w:lang w:val="x-none" w:eastAsia="x-none"/>
        </w:rPr>
        <w:t xml:space="preserve"> </w:t>
      </w: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eastAsia="Calibri" w:hAnsi="Calibri Light" w:cs="Calibri Light"/>
          <w:b/>
          <w:sz w:val="26"/>
          <w:szCs w:val="26"/>
          <w:lang w:val="x-none" w:eastAsia="x-none"/>
        </w:rPr>
      </w:pPr>
    </w:p>
    <w:p w:rsidR="006952AD" w:rsidRPr="00475BC4" w:rsidRDefault="006952AD" w:rsidP="006952AD">
      <w:pPr>
        <w:spacing w:after="0" w:line="360" w:lineRule="atLeast"/>
        <w:jc w:val="center"/>
        <w:rPr>
          <w:rFonts w:ascii="Calibri Light" w:eastAsia="Calibri" w:hAnsi="Calibri Light" w:cs="Calibri Light"/>
          <w:b/>
          <w:sz w:val="28"/>
          <w:szCs w:val="28"/>
          <w:lang w:eastAsia="el-GR"/>
        </w:rPr>
      </w:pPr>
      <w:r w:rsidRPr="00475BC4">
        <w:rPr>
          <w:rFonts w:ascii="Calibri Light" w:eastAsia="Calibri" w:hAnsi="Calibri Light" w:cs="Calibri Light"/>
          <w:b/>
          <w:sz w:val="28"/>
          <w:szCs w:val="28"/>
          <w:lang w:eastAsia="el-GR"/>
        </w:rPr>
        <w:t>Αποτελέσματα της έρευνας για την κίνηση των εμπορικών καταστημάτων κατά τη διάρκεια της εορταστικής περιόδου 202</w:t>
      </w:r>
      <w:r>
        <w:rPr>
          <w:rFonts w:ascii="Calibri Light" w:eastAsia="Calibri" w:hAnsi="Calibri Light" w:cs="Calibri Light"/>
          <w:b/>
          <w:sz w:val="28"/>
          <w:szCs w:val="28"/>
          <w:lang w:eastAsia="el-GR"/>
        </w:rPr>
        <w:t>2-2023</w:t>
      </w:r>
      <w:r w:rsidRPr="00475BC4">
        <w:rPr>
          <w:rFonts w:ascii="Calibri Light" w:eastAsia="Calibri" w:hAnsi="Calibri Light" w:cs="Calibri Light"/>
          <w:b/>
          <w:sz w:val="28"/>
          <w:szCs w:val="28"/>
          <w:lang w:eastAsia="el-GR"/>
        </w:rPr>
        <w:t>»</w:t>
      </w:r>
    </w:p>
    <w:p w:rsidR="006952AD" w:rsidRDefault="006952AD" w:rsidP="006952AD">
      <w:pPr>
        <w:spacing w:after="0" w:line="360" w:lineRule="atLeast"/>
        <w:jc w:val="both"/>
        <w:rPr>
          <w:rFonts w:ascii="Calibri Light" w:hAnsi="Calibri Light" w:cs="Calibri Light"/>
          <w:sz w:val="28"/>
          <w:szCs w:val="28"/>
        </w:rPr>
      </w:pP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  <w:sz w:val="28"/>
          <w:szCs w:val="28"/>
        </w:rPr>
      </w:pPr>
    </w:p>
    <w:p w:rsidR="006952AD" w:rsidRPr="0019440A" w:rsidRDefault="00BD6BCA" w:rsidP="00BD6BCA">
      <w:pPr>
        <w:jc w:val="center"/>
        <w:rPr>
          <w:rFonts w:ascii="Calibri Light" w:eastAsia="Calibri" w:hAnsi="Calibri Light" w:cs="Calibri Light"/>
          <w:b/>
          <w:i/>
          <w:sz w:val="28"/>
          <w:szCs w:val="28"/>
          <w:lang w:eastAsia="el-GR"/>
        </w:rPr>
      </w:pPr>
      <w:r>
        <w:rPr>
          <w:rFonts w:ascii="Calibri Light" w:eastAsia="Calibri" w:hAnsi="Calibri Light" w:cs="Calibri Light"/>
          <w:b/>
          <w:i/>
          <w:sz w:val="28"/>
          <w:szCs w:val="28"/>
          <w:lang w:eastAsia="el-GR"/>
        </w:rPr>
        <w:t>«</w:t>
      </w:r>
      <w:r w:rsidR="006952AD" w:rsidRPr="003C6D61">
        <w:rPr>
          <w:rFonts w:ascii="Calibri Light" w:eastAsia="Calibri" w:hAnsi="Calibri Light" w:cs="Calibri Light"/>
          <w:b/>
          <w:i/>
          <w:sz w:val="28"/>
          <w:szCs w:val="28"/>
          <w:lang w:eastAsia="el-GR"/>
        </w:rPr>
        <w:t>Η υψηλή επισκεψιμότητα των εμπορικών αγορών δεν μεταφ</w:t>
      </w:r>
      <w:r w:rsidR="0019440A">
        <w:rPr>
          <w:rFonts w:ascii="Calibri Light" w:eastAsia="Calibri" w:hAnsi="Calibri Light" w:cs="Calibri Light"/>
          <w:b/>
          <w:i/>
          <w:sz w:val="28"/>
          <w:szCs w:val="28"/>
          <w:lang w:eastAsia="el-GR"/>
        </w:rPr>
        <w:t>ράστηκε σε ανάλογες πωλήσεις</w:t>
      </w:r>
      <w:r>
        <w:rPr>
          <w:rFonts w:ascii="Calibri Light" w:eastAsia="Calibri" w:hAnsi="Calibri Light" w:cs="Calibri Light"/>
          <w:b/>
          <w:i/>
          <w:sz w:val="28"/>
          <w:szCs w:val="28"/>
          <w:lang w:eastAsia="el-GR"/>
        </w:rPr>
        <w:t>»</w:t>
      </w:r>
      <w:bookmarkStart w:id="0" w:name="_GoBack"/>
      <w:bookmarkEnd w:id="0"/>
    </w:p>
    <w:p w:rsidR="006952AD" w:rsidRDefault="006952AD" w:rsidP="006952AD">
      <w:pPr>
        <w:spacing w:after="0" w:line="360" w:lineRule="atLeast"/>
        <w:jc w:val="both"/>
        <w:rPr>
          <w:rFonts w:ascii="Calibri Light" w:hAnsi="Calibri Light" w:cs="Calibri Light"/>
          <w:b/>
          <w:sz w:val="26"/>
          <w:szCs w:val="26"/>
        </w:rPr>
      </w:pP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  <w:b/>
          <w:sz w:val="26"/>
          <w:szCs w:val="26"/>
        </w:rPr>
      </w:pP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  <w:b/>
          <w:sz w:val="26"/>
          <w:szCs w:val="26"/>
        </w:rPr>
      </w:pPr>
      <w:r w:rsidRPr="00475BC4">
        <w:rPr>
          <w:rFonts w:ascii="Calibri Light" w:hAnsi="Calibri Light" w:cs="Calibri Light"/>
          <w:b/>
          <w:sz w:val="26"/>
          <w:szCs w:val="26"/>
        </w:rPr>
        <w:t>Εισαγωγή</w:t>
      </w: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  <w:b/>
          <w:sz w:val="26"/>
          <w:szCs w:val="26"/>
        </w:rPr>
      </w:pPr>
    </w:p>
    <w:p w:rsidR="006952AD" w:rsidRPr="00F705BB" w:rsidRDefault="006952AD" w:rsidP="006952AD">
      <w:pPr>
        <w:jc w:val="both"/>
        <w:rPr>
          <w:rFonts w:ascii="Calibri Light" w:hAnsi="Calibri Light" w:cs="Calibri Light"/>
          <w:sz w:val="26"/>
          <w:szCs w:val="26"/>
          <w:highlight w:val="yellow"/>
        </w:rPr>
      </w:pPr>
      <w:r w:rsidRPr="00CC5589">
        <w:rPr>
          <w:rFonts w:ascii="Calibri Light" w:hAnsi="Calibri Light" w:cs="Calibri Light"/>
          <w:sz w:val="26"/>
          <w:szCs w:val="26"/>
        </w:rPr>
        <w:t xml:space="preserve">Η </w:t>
      </w:r>
      <w:r>
        <w:rPr>
          <w:rFonts w:ascii="Calibri Light" w:hAnsi="Calibri Light" w:cs="Calibri Light"/>
          <w:sz w:val="26"/>
          <w:szCs w:val="26"/>
        </w:rPr>
        <w:t xml:space="preserve">υψηλή επισκεψιμότητα στα εμπορικά καταστήματα έγινε ακόμη εντονότερη κατά τη διάρκεια της εορταστικής περιόδου, και οφείλεται και στην </w:t>
      </w:r>
      <w:r w:rsidRPr="00CC5589">
        <w:rPr>
          <w:rFonts w:ascii="Calibri Light" w:hAnsi="Calibri Light" w:cs="Calibri Light"/>
          <w:sz w:val="26"/>
          <w:szCs w:val="26"/>
        </w:rPr>
        <w:t xml:space="preserve">υποχώρηση </w:t>
      </w:r>
      <w:r>
        <w:rPr>
          <w:rFonts w:ascii="Calibri Light" w:hAnsi="Calibri Light" w:cs="Calibri Light"/>
          <w:sz w:val="26"/>
          <w:szCs w:val="26"/>
        </w:rPr>
        <w:t>των μέτρων προστασίας κατά της</w:t>
      </w:r>
      <w:r w:rsidRPr="00CC5589">
        <w:rPr>
          <w:rFonts w:ascii="Calibri Light" w:hAnsi="Calibri Light" w:cs="Calibri Light"/>
          <w:sz w:val="26"/>
          <w:szCs w:val="26"/>
        </w:rPr>
        <w:t xml:space="preserve"> πανδημίας του κορωνοϊού</w:t>
      </w:r>
      <w:r>
        <w:rPr>
          <w:rFonts w:ascii="Calibri Light" w:hAnsi="Calibri Light" w:cs="Calibri Light"/>
          <w:sz w:val="26"/>
          <w:szCs w:val="26"/>
        </w:rPr>
        <w:t>, καθώς και στις παρατεταμένα ήπιες καιρικές συνθήκες. Οι εξελίξεις αυτές σηματοδοτούν την επιστροφή στο φυσικό κατάστημα, όπως αυτή αποτυπώνεται το τελευταίο διάστημα</w:t>
      </w:r>
      <w:r w:rsidRPr="00CC5589">
        <w:rPr>
          <w:rFonts w:ascii="Calibri Light" w:hAnsi="Calibri Light" w:cs="Calibri Light"/>
          <w:sz w:val="26"/>
          <w:szCs w:val="26"/>
        </w:rPr>
        <w:t>. Εντούτοις, η λειτουργία της αγοράς δεν έχει ακόμη αποκατασταθεί στ</w:t>
      </w:r>
      <w:r>
        <w:rPr>
          <w:rFonts w:ascii="Calibri Light" w:hAnsi="Calibri Light" w:cs="Calibri Light"/>
          <w:sz w:val="26"/>
          <w:szCs w:val="26"/>
        </w:rPr>
        <w:t xml:space="preserve">α </w:t>
      </w:r>
      <w:r w:rsidRPr="00CC5589">
        <w:rPr>
          <w:rFonts w:ascii="Calibri Light" w:hAnsi="Calibri Light" w:cs="Calibri Light"/>
          <w:sz w:val="26"/>
          <w:szCs w:val="26"/>
        </w:rPr>
        <w:t xml:space="preserve">προ </w:t>
      </w:r>
      <w:r w:rsidRPr="00CC5589">
        <w:rPr>
          <w:rFonts w:ascii="Calibri Light" w:hAnsi="Calibri Light" w:cs="Calibri Light"/>
          <w:sz w:val="26"/>
          <w:szCs w:val="26"/>
          <w:lang w:val="en-US"/>
        </w:rPr>
        <w:t>Covid</w:t>
      </w:r>
      <w:r w:rsidRPr="00CC5589">
        <w:rPr>
          <w:rFonts w:ascii="Calibri Light" w:hAnsi="Calibri Light" w:cs="Calibri Light"/>
          <w:sz w:val="26"/>
          <w:szCs w:val="26"/>
        </w:rPr>
        <w:t xml:space="preserve">-19 </w:t>
      </w:r>
      <w:r>
        <w:rPr>
          <w:rFonts w:ascii="Calibri Light" w:hAnsi="Calibri Light" w:cs="Calibri Light"/>
          <w:sz w:val="26"/>
          <w:szCs w:val="26"/>
        </w:rPr>
        <w:t xml:space="preserve">επίπεδα, ενώ καταναλωτικές συμπεριφορές οι οποίες είχαν διογκωθεί κατά τη διάρκεια της υγειονομικής κρίσης, όπως οι διαδικτυακές αγορές, διατηρούνται, έως ένα βαθμό, ακόμη και σήμερα. Στα παραπάνω θα πρέπει να προστεθεί ο αντίκτυπος της ενεργειακής κρίσης και των ανατιμήσεων και η αυξημένη αβεβαιότητα την οποία επέφερε η τελευταία σε καταναλωτές και επιχειρήσεις. </w:t>
      </w:r>
      <w:r w:rsidRPr="00CC5589">
        <w:rPr>
          <w:rFonts w:ascii="Calibri Light" w:hAnsi="Calibri Light" w:cs="Calibri Light"/>
          <w:sz w:val="26"/>
          <w:szCs w:val="26"/>
        </w:rPr>
        <w:t xml:space="preserve"> </w:t>
      </w: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  <w:sz w:val="26"/>
          <w:szCs w:val="26"/>
        </w:rPr>
      </w:pP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</w:rPr>
      </w:pP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  <w:b/>
          <w:sz w:val="26"/>
          <w:szCs w:val="26"/>
        </w:rPr>
      </w:pPr>
      <w:r w:rsidRPr="00475BC4">
        <w:rPr>
          <w:rFonts w:ascii="Calibri Light" w:hAnsi="Calibri Light" w:cs="Calibri Light"/>
          <w:b/>
          <w:sz w:val="26"/>
          <w:szCs w:val="26"/>
        </w:rPr>
        <w:t>Σύνοψη Αποτελεσμάτων</w:t>
      </w:r>
    </w:p>
    <w:p w:rsidR="006952AD" w:rsidRPr="00475BC4" w:rsidRDefault="006952AD" w:rsidP="006952AD">
      <w:pPr>
        <w:spacing w:after="0" w:line="360" w:lineRule="atLeast"/>
        <w:jc w:val="both"/>
        <w:rPr>
          <w:rFonts w:ascii="Calibri Light" w:hAnsi="Calibri Light" w:cs="Calibri Light"/>
          <w:sz w:val="26"/>
          <w:szCs w:val="26"/>
        </w:rPr>
      </w:pPr>
    </w:p>
    <w:p w:rsidR="006952AD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Μία στις τέσσερις επιχειρήσεις (26,4%) σημείωσε υψηλότερες πωλήσεις συγκριτικά με την αντίστοιχη εορταστική περίοδο του 2021-</w:t>
      </w:r>
      <w:r>
        <w:rPr>
          <w:rFonts w:ascii="Calibri Light" w:hAnsi="Calibri Light" w:cs="Calibri Light"/>
          <w:sz w:val="26"/>
          <w:szCs w:val="26"/>
        </w:rPr>
        <w:lastRenderedPageBreak/>
        <w:t xml:space="preserve">2022, ενώ σχεδόν μία στις δύο (43,6%) επιχειρήσεις δεν κατέγραψε κάποια μεταβολή. Ωστόσο, το 29,4% των επιχειρήσεων εμφάνισε επιδείνωση των πωλήσεων σε σχέση με πέρυσι </w:t>
      </w:r>
      <w:r w:rsidRPr="00475BC4">
        <w:rPr>
          <w:rFonts w:ascii="Calibri Light" w:hAnsi="Calibri Light" w:cs="Calibri Light"/>
          <w:sz w:val="26"/>
          <w:szCs w:val="26"/>
        </w:rPr>
        <w:t>(Διάγραμμα 1).</w:t>
      </w:r>
      <w:r>
        <w:rPr>
          <w:rFonts w:ascii="Calibri Light" w:hAnsi="Calibri Light" w:cs="Calibri Light"/>
          <w:sz w:val="26"/>
          <w:szCs w:val="26"/>
        </w:rPr>
        <w:t xml:space="preserve"> Σε αυτό το σημείο θα πρέπει να υπογραμμιστεί πως στο περυσινό δελτίο οι επιδόσεις των καταστημάτων συγκρίνονταν με εκείνες του 2020, οπότε η αγορά λειτουργούσε υπό τους ασφυκτικούς περιορισμούς της πανδημίας.</w:t>
      </w:r>
    </w:p>
    <w:p w:rsidR="006952AD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Λαμβάνοντας υπόψη τις νέες προκλήσεις (ενεργειακή κρίση/ ανατιμήσεις), το 27% των επιχειρήσεων δήλωσε πολύ/ πάρα πολύ ικανοποιημένο από τις πωλήσεις κατά την εορταστική περίοδο. Περισσότερες από τις μισές (54,0%) εμφανίζεται μέτρια ικανοποιημένο ενώ το 19% λίγο έως καθόλου. Το ευρήματα αυτά αφορούν την απόσταση μεταξύ των προσδοκιών και των πραγματικών πωλήσεων (Διάγραμμα 2). </w:t>
      </w:r>
    </w:p>
    <w:p w:rsidR="006952AD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Ο υψηλός βαθμός ικανοποίησης από την επισκεψιμότητα στα καταστήματα οφείλεται στην άρση των περιορισμών των μετακινήσεων, και της επιθυμίας των καταναλωτών για επιστροφή στην κανονικότητα. Περισσότερες από μία στις τρεις (36,8%) δήλωσε από πολύ έως πάρα πολύ ικανοποιημένες από την επισκεψιμότητα, ενώ σχεδόν οι μισές (47,9%)  δήλωσαν μέτρια ικανοποιημένες (Διάγραμμα 3).  </w:t>
      </w:r>
    </w:p>
    <w:p w:rsidR="006952AD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Παραδοσιακά, η καλύτερη περίοδος για την αγοραστική κίνηση ήταν πριν από τα Χριστούγεννα (Διάγραμμα 4).</w:t>
      </w:r>
    </w:p>
    <w:p w:rsidR="006952AD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Οι παρατεταμένες αναταράξεις και η αβεβαιότητα στην αγορά οδήγησαν μία στις τρεις επιχειρήσεις (35,6%) να πραγματοποιήσουν προσφορές/ εκπτώσεις ακόμα και κατά την εορταστική περίοδο (Διάγραμμα 5). Ειδικότερα, το 71% των επιχειρήσεων που προχώρησαν σε εκπτώσεις, υιοθέτησαν ποσοστό που κυμάνθηκε από 11% έως 30%. Το εύρημα αυτό εξηγεί, εν μέρει, ότι στις μισές (50,3%) κινήθηκαν περισσότερο τα πιο φθηνά εμπορεύματα (Διάγραμμα 6). Μια δεύτερη εξήγηση μπορεί να δοθεί και από το γεγονός ότι ευνοήθηκαν οι επισκέψεις/ συναθροίσεις και συνεπώς η ανάγκη για ανταλλαγή συμβολικών δώρων.</w:t>
      </w:r>
    </w:p>
    <w:p w:rsidR="006952AD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Για το 2022 συνολικά, η αγορά παρουσιάζει μια μεικτή εικόνα συγκριτικά με το 2021 με τις θετικές αποκρίσεις να αντισταθμίζουν τις αρνητικές (Διάγραμμα 7).</w:t>
      </w:r>
    </w:p>
    <w:p w:rsidR="006952AD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Η ανισότητα στις επιδόσεις αποτυπώνεται και στις προβλέψεις των πωλήσεων για το 2023. Μία στις πέντε επιχειρήσεις (18,4%) δηλώνει αδυναμία πρόβλεψης εξαιτίας της υψηλής αβεβαιότητας και του ιδιαίτερα ρευστού επιχειρηματικού περιβάλλοντος, ενώ μία στις τέσσερις (26,4%) αναμένουν επιδείνωση (Διάγραμμα 8).</w:t>
      </w:r>
    </w:p>
    <w:p w:rsidR="006952AD" w:rsidRPr="00F20D96" w:rsidRDefault="006952AD" w:rsidP="006952AD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Calibri Light" w:hAnsi="Calibri Light" w:cs="Calibri Light"/>
          <w:sz w:val="26"/>
          <w:szCs w:val="26"/>
        </w:rPr>
      </w:pPr>
      <w:r w:rsidRPr="00F20D96">
        <w:rPr>
          <w:rFonts w:ascii="Calibri Light" w:hAnsi="Calibri Light" w:cs="Calibri Light"/>
          <w:sz w:val="26"/>
          <w:szCs w:val="26"/>
        </w:rPr>
        <w:t xml:space="preserve">Βασικοί παράγοντες τροφοδότησης αυτής της αβεβαιότητας είναι αφενός οι ανατιμήσεις στο ενεργειακό κόστος και αφετέρου </w:t>
      </w:r>
      <w:r>
        <w:rPr>
          <w:rFonts w:ascii="Calibri Light" w:hAnsi="Calibri Light" w:cs="Calibri Light"/>
          <w:sz w:val="26"/>
          <w:szCs w:val="26"/>
        </w:rPr>
        <w:t>η</w:t>
      </w:r>
      <w:r w:rsidRPr="00F20D96">
        <w:rPr>
          <w:rFonts w:ascii="Calibri Light" w:hAnsi="Calibri Light" w:cs="Calibri Light"/>
          <w:sz w:val="26"/>
          <w:szCs w:val="26"/>
        </w:rPr>
        <w:t xml:space="preserve"> αύξηση των τιμών των προμηθευτών. Ως εκ τούτου, περισσότερες από τις μισές επιχειρήσεις (53,7%) δηλώνουν εξαιρετικά υψηλή αρνητική επίδραση (Διάγραμμα 9). </w:t>
      </w:r>
      <w:r>
        <w:rPr>
          <w:rFonts w:ascii="Calibri Light" w:hAnsi="Calibri Light" w:cs="Calibri Light"/>
          <w:sz w:val="26"/>
          <w:szCs w:val="26"/>
        </w:rPr>
        <w:t>Για σχεδόν έξι στις δέκα επιχειρήσεις (58,9%) οι ανατιμήσεις των τιμών των εμπορευμάτων από τους προμηθευτές κυμάνθηκε από 11% έως 30% (Διάγραμμα 10).</w:t>
      </w:r>
    </w:p>
    <w:p w:rsidR="006952AD" w:rsidRDefault="006952AD" w:rsidP="006952AD"/>
    <w:p w:rsidR="006952AD" w:rsidRDefault="006952AD" w:rsidP="006952AD"/>
    <w:p w:rsidR="006952AD" w:rsidRDefault="006952AD" w:rsidP="006952AD"/>
    <w:p w:rsidR="006952AD" w:rsidRDefault="006952AD" w:rsidP="006952AD"/>
    <w:p w:rsidR="006952AD" w:rsidRDefault="006952AD" w:rsidP="006952AD"/>
    <w:p w:rsidR="006952AD" w:rsidRDefault="006952AD" w:rsidP="006952AD"/>
    <w:p w:rsidR="006952AD" w:rsidRDefault="006952AD" w:rsidP="006952AD"/>
    <w:p w:rsidR="0082534D" w:rsidRPr="00475BC4" w:rsidRDefault="0082534D" w:rsidP="00475BC4">
      <w:pPr>
        <w:spacing w:after="0" w:line="360" w:lineRule="atLeast"/>
        <w:jc w:val="both"/>
        <w:rPr>
          <w:rFonts w:ascii="Calibri Light" w:hAnsi="Calibri Light" w:cs="Calibri Light"/>
          <w:sz w:val="28"/>
          <w:szCs w:val="28"/>
        </w:rPr>
      </w:pPr>
    </w:p>
    <w:p w:rsidR="00100197" w:rsidRDefault="00100197"/>
    <w:p w:rsidR="00687B90" w:rsidRDefault="00687B90"/>
    <w:p w:rsidR="00687B90" w:rsidRDefault="00687B90"/>
    <w:p w:rsidR="00687B90" w:rsidRDefault="00687B90"/>
    <w:p w:rsidR="00687B90" w:rsidRPr="0019440A" w:rsidRDefault="00687B90"/>
    <w:p w:rsidR="00687B90" w:rsidRDefault="00687B90"/>
    <w:p w:rsidR="003C5E42" w:rsidRPr="00687B90" w:rsidRDefault="00E74796">
      <w:pPr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Δ</w:t>
      </w:r>
      <w:r w:rsidR="00687B90" w:rsidRPr="00687B90">
        <w:rPr>
          <w:rFonts w:ascii="Calibri Light" w:hAnsi="Calibri Light" w:cs="Calibri Light"/>
          <w:b/>
          <w:sz w:val="26"/>
          <w:szCs w:val="26"/>
        </w:rPr>
        <w:t>ιαγράμματα</w:t>
      </w:r>
    </w:p>
    <w:p w:rsidR="003C5E42" w:rsidRDefault="00687B90">
      <w:r>
        <w:rPr>
          <w:noProof/>
          <w:lang w:eastAsia="el-GR"/>
        </w:rPr>
        <w:drawing>
          <wp:inline distT="0" distB="0" distL="0" distR="0" wp14:anchorId="7C36D535" wp14:editId="21F89295">
            <wp:extent cx="5274310" cy="3321685"/>
            <wp:effectExtent l="0" t="0" r="2540" b="12065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5E42" w:rsidRDefault="00687B90">
      <w:r>
        <w:rPr>
          <w:noProof/>
          <w:lang w:eastAsia="el-GR"/>
        </w:rPr>
        <w:drawing>
          <wp:inline distT="0" distB="0" distL="0" distR="0" wp14:anchorId="0F67AC56" wp14:editId="60C06E9C">
            <wp:extent cx="5274310" cy="3839210"/>
            <wp:effectExtent l="0" t="0" r="2540" b="889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B90" w:rsidRDefault="00687B90"/>
    <w:p w:rsidR="00687B90" w:rsidRDefault="00687B90"/>
    <w:p w:rsidR="00687B90" w:rsidRDefault="00687B90"/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7B754C82" wp14:editId="5DDF3061">
            <wp:extent cx="5274310" cy="4415790"/>
            <wp:effectExtent l="0" t="0" r="2540" b="381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55F983E5" wp14:editId="2997F13C">
            <wp:extent cx="5274310" cy="3244850"/>
            <wp:effectExtent l="0" t="0" r="2540" b="12700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7B90" w:rsidRDefault="00687B90"/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0450031D" wp14:editId="20ADF914">
            <wp:extent cx="5274310" cy="3108960"/>
            <wp:effectExtent l="0" t="0" r="2540" b="15240"/>
            <wp:docPr id="6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7B946DA0" wp14:editId="60467DD7">
            <wp:extent cx="5274310" cy="3108960"/>
            <wp:effectExtent l="0" t="0" r="2540" b="15240"/>
            <wp:docPr id="7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7B90" w:rsidRDefault="00687B90"/>
    <w:p w:rsidR="00687B90" w:rsidRDefault="00687B90"/>
    <w:p w:rsidR="00687B90" w:rsidRDefault="00687B90"/>
    <w:p w:rsidR="00687B90" w:rsidRDefault="00687B90"/>
    <w:p w:rsidR="00687B90" w:rsidRDefault="00687B90"/>
    <w:p w:rsidR="00687B90" w:rsidRDefault="00687B90"/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11F2ED60" wp14:editId="610DE20A">
            <wp:extent cx="5274310" cy="4766310"/>
            <wp:effectExtent l="0" t="0" r="2540" b="15240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15B1F8D3" wp14:editId="109BF7F9">
            <wp:extent cx="5274310" cy="4766310"/>
            <wp:effectExtent l="0" t="0" r="2540" b="15240"/>
            <wp:docPr id="9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6D75AD80" wp14:editId="17C9720B">
            <wp:extent cx="5274310" cy="4410075"/>
            <wp:effectExtent l="0" t="0" r="2540" b="9525"/>
            <wp:docPr id="10" name="Γράφημα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7B90" w:rsidRDefault="00687B90"/>
    <w:p w:rsidR="00687B90" w:rsidRDefault="00687B90">
      <w:r>
        <w:rPr>
          <w:noProof/>
          <w:lang w:eastAsia="el-GR"/>
        </w:rPr>
        <w:drawing>
          <wp:inline distT="0" distB="0" distL="0" distR="0" wp14:anchorId="2ABF8E21" wp14:editId="277BD95C">
            <wp:extent cx="5274310" cy="3225800"/>
            <wp:effectExtent l="0" t="0" r="2540" b="12700"/>
            <wp:docPr id="11" name="Γράφημα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7B90" w:rsidRDefault="00687B90"/>
    <w:p w:rsidR="00687B90" w:rsidRDefault="00687B90"/>
    <w:p w:rsidR="003C5E42" w:rsidRPr="003C5E42" w:rsidRDefault="003C5E42" w:rsidP="003C5E42">
      <w:pPr>
        <w:pStyle w:val="p5"/>
        <w:tabs>
          <w:tab w:val="left" w:pos="780"/>
        </w:tabs>
        <w:spacing w:after="0" w:line="240" w:lineRule="atLeast"/>
        <w:rPr>
          <w:rFonts w:eastAsiaTheme="minorHAnsi"/>
          <w:b/>
          <w:bCs/>
          <w:sz w:val="26"/>
          <w:szCs w:val="26"/>
          <w:lang w:eastAsia="en-US"/>
        </w:rPr>
      </w:pPr>
      <w:r w:rsidRPr="003C5E42">
        <w:rPr>
          <w:rFonts w:eastAsiaTheme="minorHAnsi"/>
          <w:b/>
          <w:bCs/>
          <w:sz w:val="26"/>
          <w:szCs w:val="26"/>
          <w:lang w:eastAsia="en-US"/>
        </w:rPr>
        <w:t>Ταυτότητα της έρευνας</w:t>
      </w:r>
    </w:p>
    <w:p w:rsidR="003C5E42" w:rsidRPr="003C5E42" w:rsidRDefault="003C5E42" w:rsidP="003C5E42">
      <w:pPr>
        <w:pStyle w:val="p5"/>
        <w:tabs>
          <w:tab w:val="left" w:pos="780"/>
        </w:tabs>
        <w:spacing w:after="0" w:line="240" w:lineRule="atLeast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C5E42" w:rsidRPr="003C5E42" w:rsidRDefault="003C5E42" w:rsidP="003C5E42">
      <w:pPr>
        <w:pStyle w:val="p5"/>
        <w:tabs>
          <w:tab w:val="left" w:pos="780"/>
        </w:tabs>
        <w:spacing w:after="0" w:line="240" w:lineRule="atLeast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C5E42" w:rsidRPr="003C5E42" w:rsidRDefault="003C5E42" w:rsidP="003C5E42">
      <w:pPr>
        <w:spacing w:after="0" w:line="240" w:lineRule="atLeast"/>
        <w:jc w:val="both"/>
        <w:rPr>
          <w:rFonts w:ascii="Calibri Light" w:hAnsi="Calibri Light" w:cs="Calibri Light"/>
          <w:sz w:val="26"/>
          <w:szCs w:val="26"/>
        </w:rPr>
      </w:pPr>
      <w:r w:rsidRPr="003C5E42">
        <w:rPr>
          <w:rFonts w:ascii="Calibri Light" w:hAnsi="Calibri Light" w:cs="Calibri Light"/>
          <w:sz w:val="26"/>
          <w:szCs w:val="26"/>
        </w:rPr>
        <w:t xml:space="preserve">Τηλεφωνική </w:t>
      </w:r>
      <w:r>
        <w:rPr>
          <w:rFonts w:ascii="Calibri Light" w:hAnsi="Calibri Light" w:cs="Calibri Light"/>
          <w:sz w:val="26"/>
          <w:szCs w:val="26"/>
        </w:rPr>
        <w:t>και ηλεκτρονικ</w:t>
      </w:r>
      <w:r w:rsidR="00E74796">
        <w:rPr>
          <w:rFonts w:ascii="Calibri Light" w:hAnsi="Calibri Light" w:cs="Calibri Light"/>
          <w:sz w:val="26"/>
          <w:szCs w:val="26"/>
        </w:rPr>
        <w:t>ή</w:t>
      </w:r>
      <w:r>
        <w:rPr>
          <w:rFonts w:ascii="Calibri Light" w:hAnsi="Calibri Light" w:cs="Calibri Light"/>
          <w:sz w:val="26"/>
          <w:szCs w:val="26"/>
        </w:rPr>
        <w:t xml:space="preserve"> (μέσω </w:t>
      </w:r>
      <w:r>
        <w:rPr>
          <w:rFonts w:ascii="Calibri Light" w:hAnsi="Calibri Light" w:cs="Calibri Light"/>
          <w:sz w:val="26"/>
          <w:szCs w:val="26"/>
          <w:lang w:val="en-US"/>
        </w:rPr>
        <w:t>e</w:t>
      </w:r>
      <w:r w:rsidRPr="003C5E42">
        <w:rPr>
          <w:rFonts w:ascii="Calibri Light" w:hAnsi="Calibri Light" w:cs="Calibri Light"/>
          <w:sz w:val="26"/>
          <w:szCs w:val="26"/>
        </w:rPr>
        <w:t>-</w:t>
      </w:r>
      <w:r>
        <w:rPr>
          <w:rFonts w:ascii="Calibri Light" w:hAnsi="Calibri Light" w:cs="Calibri Light"/>
          <w:sz w:val="26"/>
          <w:szCs w:val="26"/>
          <w:lang w:val="en-US"/>
        </w:rPr>
        <w:t>mail</w:t>
      </w:r>
      <w:r w:rsidRPr="003C5E42">
        <w:rPr>
          <w:rFonts w:ascii="Calibri Light" w:hAnsi="Calibri Light" w:cs="Calibri Light"/>
          <w:sz w:val="26"/>
          <w:szCs w:val="26"/>
        </w:rPr>
        <w:t xml:space="preserve">) έρευνα με </w:t>
      </w:r>
      <w:r w:rsidR="00E74796">
        <w:rPr>
          <w:rFonts w:ascii="Calibri Light" w:hAnsi="Calibri Light" w:cs="Calibri Light"/>
          <w:sz w:val="26"/>
          <w:szCs w:val="26"/>
        </w:rPr>
        <w:t xml:space="preserve">τη </w:t>
      </w:r>
      <w:r w:rsidRPr="003C5E42">
        <w:rPr>
          <w:rFonts w:ascii="Calibri Light" w:hAnsi="Calibri Light" w:cs="Calibri Light"/>
          <w:sz w:val="26"/>
          <w:szCs w:val="26"/>
        </w:rPr>
        <w:t>χρήση δομημένου ερωτηματολογίου με:</w:t>
      </w:r>
    </w:p>
    <w:p w:rsidR="003C5E42" w:rsidRPr="003C5E42" w:rsidRDefault="003C5E42" w:rsidP="003C5E42">
      <w:pPr>
        <w:spacing w:after="0" w:line="240" w:lineRule="atLeast"/>
        <w:jc w:val="both"/>
        <w:rPr>
          <w:rFonts w:ascii="Calibri Light" w:hAnsi="Calibri Light" w:cs="Calibri Light"/>
          <w:sz w:val="26"/>
          <w:szCs w:val="26"/>
        </w:rPr>
      </w:pPr>
    </w:p>
    <w:p w:rsidR="003C5E42" w:rsidRPr="003C5E42" w:rsidRDefault="003C5E42" w:rsidP="003C5E42">
      <w:pPr>
        <w:spacing w:after="0" w:line="240" w:lineRule="atLeast"/>
        <w:jc w:val="both"/>
        <w:rPr>
          <w:rFonts w:ascii="Calibri Light" w:hAnsi="Calibri Light" w:cs="Calibri Light"/>
          <w:sz w:val="26"/>
          <w:szCs w:val="26"/>
        </w:rPr>
      </w:pPr>
      <w:r w:rsidRPr="003C5E42">
        <w:rPr>
          <w:rFonts w:ascii="Calibri Light" w:hAnsi="Calibri Light" w:cs="Calibri Light"/>
          <w:sz w:val="26"/>
          <w:szCs w:val="26"/>
        </w:rPr>
        <w:t>Μέγεθος</w:t>
      </w:r>
      <w:r w:rsidR="00E74796">
        <w:rPr>
          <w:rFonts w:ascii="Calibri Light" w:hAnsi="Calibri Light" w:cs="Calibri Light"/>
          <w:sz w:val="26"/>
          <w:szCs w:val="26"/>
        </w:rPr>
        <w:t xml:space="preserve"> δείγματος</w:t>
      </w:r>
      <w:r w:rsidRPr="003C5E42">
        <w:rPr>
          <w:rFonts w:ascii="Calibri Light" w:hAnsi="Calibri Light" w:cs="Calibri Light"/>
          <w:sz w:val="26"/>
          <w:szCs w:val="26"/>
        </w:rPr>
        <w:t xml:space="preserve">: 300 </w:t>
      </w:r>
      <w:r w:rsidR="00E74796">
        <w:rPr>
          <w:rFonts w:ascii="Calibri Light" w:hAnsi="Calibri Light" w:cs="Calibri Light"/>
          <w:sz w:val="26"/>
          <w:szCs w:val="26"/>
        </w:rPr>
        <w:t>επιχειρήσεις</w:t>
      </w:r>
    </w:p>
    <w:p w:rsidR="003C5E42" w:rsidRPr="003C5E42" w:rsidRDefault="003C5E42" w:rsidP="003C5E42">
      <w:pPr>
        <w:spacing w:after="0" w:line="240" w:lineRule="atLeast"/>
        <w:jc w:val="both"/>
        <w:rPr>
          <w:rFonts w:ascii="Calibri Light" w:hAnsi="Calibri Light" w:cs="Calibri Light"/>
          <w:sz w:val="26"/>
          <w:szCs w:val="26"/>
        </w:rPr>
      </w:pPr>
      <w:r w:rsidRPr="003C5E42">
        <w:rPr>
          <w:rFonts w:ascii="Calibri Light" w:hAnsi="Calibri Light" w:cs="Calibri Light"/>
          <w:sz w:val="26"/>
          <w:szCs w:val="26"/>
        </w:rPr>
        <w:t>Κάλυψη: Πανελλαδική</w:t>
      </w:r>
    </w:p>
    <w:p w:rsidR="003C5E42" w:rsidRPr="003C5E42" w:rsidRDefault="003C5E42" w:rsidP="003C5E42">
      <w:pPr>
        <w:spacing w:after="0" w:line="240" w:lineRule="atLeast"/>
        <w:jc w:val="both"/>
        <w:rPr>
          <w:rFonts w:ascii="Calibri Light" w:hAnsi="Calibri Light" w:cs="Calibri Light"/>
          <w:sz w:val="26"/>
          <w:szCs w:val="26"/>
        </w:rPr>
      </w:pPr>
    </w:p>
    <w:p w:rsidR="003C5E42" w:rsidRPr="003C5E42" w:rsidRDefault="003C5E42" w:rsidP="003C5E42">
      <w:pPr>
        <w:spacing w:after="0" w:line="240" w:lineRule="atLeast"/>
        <w:jc w:val="both"/>
        <w:rPr>
          <w:rFonts w:ascii="Calibri Light" w:hAnsi="Calibri Light" w:cs="Calibri Light"/>
          <w:sz w:val="26"/>
          <w:szCs w:val="26"/>
        </w:rPr>
      </w:pPr>
      <w:r w:rsidRPr="003C5E42">
        <w:rPr>
          <w:rFonts w:ascii="Calibri Light" w:hAnsi="Calibri Light" w:cs="Calibri Light"/>
          <w:sz w:val="26"/>
          <w:szCs w:val="26"/>
        </w:rPr>
        <w:t xml:space="preserve">Στρωματοποιημένη δειγματοληψία με αναλογική αντιπροσώπευση βάσει γεωγραφικής περιοχής και δραστηριότητας των επιχειρήσεων σύμφωνα με το μητρώο της ΕΛΣΤΑΤ </w:t>
      </w:r>
      <w:r>
        <w:rPr>
          <w:rFonts w:ascii="Calibri Light" w:hAnsi="Calibri Light" w:cs="Calibri Light"/>
          <w:sz w:val="26"/>
          <w:szCs w:val="26"/>
        </w:rPr>
        <w:t>στους κλάδους: Εξειδικευμένα καταστήματα τροφίμων, Οικιακός εξοπλισμός, Ένδυση-Υπόδηση και Υπόλοιπο Λιανικό (αθλητικά είδη, ανθοπωλεία, κοσμήματα, καλλυντικά, βιβλιοπωλεία και παιχνίδια)</w:t>
      </w:r>
      <w:r w:rsidRPr="003C5E42">
        <w:rPr>
          <w:rFonts w:ascii="Calibri Light" w:hAnsi="Calibri Light" w:cs="Calibri Light"/>
          <w:sz w:val="26"/>
          <w:szCs w:val="26"/>
        </w:rPr>
        <w:t>.</w:t>
      </w:r>
    </w:p>
    <w:p w:rsidR="003C5E42" w:rsidRPr="003C5E42" w:rsidRDefault="003C5E42">
      <w:pPr>
        <w:rPr>
          <w:rFonts w:ascii="Calibri Light" w:hAnsi="Calibri Light" w:cs="Calibri Light"/>
          <w:sz w:val="26"/>
          <w:szCs w:val="26"/>
        </w:rPr>
      </w:pPr>
    </w:p>
    <w:sectPr w:rsidR="003C5E42" w:rsidRPr="003C5E42"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80" w:rsidRDefault="00B35A80" w:rsidP="00687B90">
      <w:pPr>
        <w:spacing w:after="0" w:line="240" w:lineRule="auto"/>
      </w:pPr>
      <w:r>
        <w:separator/>
      </w:r>
    </w:p>
  </w:endnote>
  <w:endnote w:type="continuationSeparator" w:id="0">
    <w:p w:rsidR="00B35A80" w:rsidRDefault="00B35A80" w:rsidP="0068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8243"/>
      <w:docPartObj>
        <w:docPartGallery w:val="Page Numbers (Bottom of Page)"/>
        <w:docPartUnique/>
      </w:docPartObj>
    </w:sdtPr>
    <w:sdtEndPr/>
    <w:sdtContent>
      <w:p w:rsidR="00687B90" w:rsidRDefault="00687B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80">
          <w:rPr>
            <w:noProof/>
          </w:rPr>
          <w:t>1</w:t>
        </w:r>
        <w:r>
          <w:fldChar w:fldCharType="end"/>
        </w:r>
      </w:p>
    </w:sdtContent>
  </w:sdt>
  <w:p w:rsidR="00687B90" w:rsidRDefault="00687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80" w:rsidRDefault="00B35A80" w:rsidP="00687B90">
      <w:pPr>
        <w:spacing w:after="0" w:line="240" w:lineRule="auto"/>
      </w:pPr>
      <w:r>
        <w:separator/>
      </w:r>
    </w:p>
  </w:footnote>
  <w:footnote w:type="continuationSeparator" w:id="0">
    <w:p w:rsidR="00B35A80" w:rsidRDefault="00B35A80" w:rsidP="0068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03B"/>
    <w:multiLevelType w:val="hybridMultilevel"/>
    <w:tmpl w:val="D466CE78"/>
    <w:lvl w:ilvl="0" w:tplc="6ECCF3C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4"/>
    <w:rsid w:val="00100197"/>
    <w:rsid w:val="0019440A"/>
    <w:rsid w:val="001F7BC4"/>
    <w:rsid w:val="0026293B"/>
    <w:rsid w:val="00272E05"/>
    <w:rsid w:val="003C5E42"/>
    <w:rsid w:val="004029B6"/>
    <w:rsid w:val="004748F9"/>
    <w:rsid w:val="00475BC4"/>
    <w:rsid w:val="005D4EDC"/>
    <w:rsid w:val="006534C3"/>
    <w:rsid w:val="00687B90"/>
    <w:rsid w:val="006952AD"/>
    <w:rsid w:val="00724B67"/>
    <w:rsid w:val="00800F9D"/>
    <w:rsid w:val="008042F1"/>
    <w:rsid w:val="0082534D"/>
    <w:rsid w:val="00851D75"/>
    <w:rsid w:val="009236EA"/>
    <w:rsid w:val="00AB01A7"/>
    <w:rsid w:val="00AB4F18"/>
    <w:rsid w:val="00B35A80"/>
    <w:rsid w:val="00BD6BCA"/>
    <w:rsid w:val="00C55816"/>
    <w:rsid w:val="00C813A9"/>
    <w:rsid w:val="00CC5589"/>
    <w:rsid w:val="00D57478"/>
    <w:rsid w:val="00D6159B"/>
    <w:rsid w:val="00E30758"/>
    <w:rsid w:val="00E74796"/>
    <w:rsid w:val="00F20D96"/>
    <w:rsid w:val="00F705BB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C5E42"/>
    <w:pPr>
      <w:spacing w:after="45" w:line="240" w:lineRule="auto"/>
    </w:pPr>
    <w:rPr>
      <w:rFonts w:ascii=".SF UI Display" w:eastAsia="Calibri" w:hAnsi=".SF UI Display" w:cs="Times New Roman"/>
      <w:color w:val="454545"/>
      <w:sz w:val="32"/>
      <w:szCs w:val="32"/>
      <w:lang w:eastAsia="el-GR"/>
    </w:rPr>
  </w:style>
  <w:style w:type="character" w:customStyle="1" w:styleId="s5">
    <w:name w:val="s5"/>
    <w:rsid w:val="003C5E42"/>
    <w:rPr>
      <w:rFonts w:ascii=".SFUIDisplay-Bold" w:hAnsi=".SFUIDisplay-Bold" w:hint="default"/>
      <w:b/>
      <w:bCs/>
      <w:i w:val="0"/>
      <w:iCs w:val="0"/>
      <w:sz w:val="42"/>
      <w:szCs w:val="42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B9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7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87B90"/>
  </w:style>
  <w:style w:type="paragraph" w:styleId="a5">
    <w:name w:val="footer"/>
    <w:basedOn w:val="a"/>
    <w:link w:val="Char1"/>
    <w:uiPriority w:val="99"/>
    <w:unhideWhenUsed/>
    <w:rsid w:val="00687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8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C5E42"/>
    <w:pPr>
      <w:spacing w:after="45" w:line="240" w:lineRule="auto"/>
    </w:pPr>
    <w:rPr>
      <w:rFonts w:ascii=".SF UI Display" w:eastAsia="Calibri" w:hAnsi=".SF UI Display" w:cs="Times New Roman"/>
      <w:color w:val="454545"/>
      <w:sz w:val="32"/>
      <w:szCs w:val="32"/>
      <w:lang w:eastAsia="el-GR"/>
    </w:rPr>
  </w:style>
  <w:style w:type="character" w:customStyle="1" w:styleId="s5">
    <w:name w:val="s5"/>
    <w:rsid w:val="003C5E42"/>
    <w:rPr>
      <w:rFonts w:ascii=".SFUIDisplay-Bold" w:hAnsi=".SFUIDisplay-Bold" w:hint="default"/>
      <w:b/>
      <w:bCs/>
      <w:i w:val="0"/>
      <w:iCs w:val="0"/>
      <w:sz w:val="42"/>
      <w:szCs w:val="42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B9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7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87B90"/>
  </w:style>
  <w:style w:type="paragraph" w:styleId="a5">
    <w:name w:val="footer"/>
    <w:basedOn w:val="a"/>
    <w:link w:val="Char1"/>
    <w:uiPriority w:val="99"/>
    <w:unhideWhenUsed/>
    <w:rsid w:val="00687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8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achovas\AppData\Local\Microsoft\Windows\Temporary%20Internet%20Files\Content.Outlook\4YBNXGVX\graphs_16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achovas\AppData\Local\Microsoft\Windows\Temporary%20Internet%20Files\Content.Outlook\4YBNXGVX\graphs_16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achovas\AppData\Local\Microsoft\Windows\Temporary%20Internet%20Files\Content.Outlook\4YBNXGVX\graphs_1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b="1">
                <a:solidFill>
                  <a:schemeClr val="tx1"/>
                </a:solidFill>
              </a:rPr>
              <a:t>Διάγραμμα</a:t>
            </a:r>
            <a:r>
              <a:rPr lang="el-GR" b="1" baseline="0">
                <a:solidFill>
                  <a:schemeClr val="tx1"/>
                </a:solidFill>
              </a:rPr>
              <a:t> 1: </a:t>
            </a:r>
            <a:r>
              <a:rPr lang="el-GR" b="1">
                <a:solidFill>
                  <a:schemeClr val="tx1"/>
                </a:solidFill>
              </a:rPr>
              <a:t>Πως κινήθηκαν οι πωλήσεις της επιχείρησής σας κατα την εορταστική περίοδο (2022) σε σχέση με την αντίστοιχη περυσινή (2021);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[graphs_163.xlsx]Φύλλο1!$B$52,[graphs_163.xlsx]Φύλλο1!$B$54,[graphs_163.xlsx]Φύλλο1!$B$56,[graphs_163.xlsx]Φύλλο1!$B$58</c:f>
              <c:strCache>
                <c:ptCount val="4"/>
                <c:pt idx="0">
                  <c:v>Καλύτερα</c:v>
                </c:pt>
                <c:pt idx="1">
                  <c:v>Στα ίδια επίπεδα</c:v>
                </c:pt>
                <c:pt idx="2">
                  <c:v>Χειρότερα</c:v>
                </c:pt>
                <c:pt idx="3">
                  <c:v>Δεν γνωρίζω/Δεν απαντώ </c:v>
                </c:pt>
              </c:strCache>
            </c:strRef>
          </c:cat>
          <c:val>
            <c:numRef>
              <c:f>[graphs_163.xlsx]Φύλλο1!$C$53,[graphs_163.xlsx]Φύλλο1!$C$55,[graphs_163.xlsx]Φύλλο1!$C$57,[graphs_163.xlsx]Φύλλο1!$C$59</c:f>
              <c:numCache>
                <c:formatCode>###0.0%</c:formatCode>
                <c:ptCount val="4"/>
                <c:pt idx="0">
                  <c:v>0.26380368098159507</c:v>
                </c:pt>
                <c:pt idx="1">
                  <c:v>0.43558282208588955</c:v>
                </c:pt>
                <c:pt idx="2">
                  <c:v>0.29447852760736198</c:v>
                </c:pt>
                <c:pt idx="3">
                  <c:v>6.1349693251533744E-3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9-420C-B302-3B537E580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4032512"/>
        <c:axId val="28378483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[graphs_163.xlsx]Φύλλο1!$B$52,[graphs_163.xlsx]Φύλλο1!$B$54,[graphs_163.xlsx]Φύλλο1!$B$56,[graphs_163.xlsx]Φύλλο1!$B$58</c15:sqref>
                        </c15:formulaRef>
                      </c:ext>
                    </c:extLst>
                    <c:strCache>
                      <c:ptCount val="4"/>
                      <c:pt idx="0">
                        <c:v>Καλύτερα</c:v>
                      </c:pt>
                      <c:pt idx="1">
                        <c:v>Στα ίδια επίπεδα</c:v>
                      </c:pt>
                      <c:pt idx="2">
                        <c:v>Χειρότερα</c:v>
                      </c:pt>
                      <c:pt idx="3">
                        <c:v>Δεν γνωρίζω/Δεν απαντώ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[graphs_163.xlsx]Φύλλο1!$C$9,[graphs_163.xlsx]Φύλλο1!$C$11,[graphs_163.xlsx]Φύλλο1!$C$13,[graphs_163.xlsx]Φύλλο1!$C$15,[graphs_163.xlsx]Φύλλο1!$C$17,[graphs_163.xlsx]Φύλλο1!$C$21</c15:sqref>
                        </c15:formulaRef>
                      </c:ext>
                    </c:extLst>
                    <c:numCache>
                      <c:formatCode>###0.0%</c:formatCode>
                      <c:ptCount val="6"/>
                      <c:pt idx="0">
                        <c:v>0.11042944785276074</c:v>
                      </c:pt>
                      <c:pt idx="1">
                        <c:v>7.9754601226993863E-2</c:v>
                      </c:pt>
                      <c:pt idx="2">
                        <c:v>0.53987730061349692</c:v>
                      </c:pt>
                      <c:pt idx="3">
                        <c:v>0.24539877300613497</c:v>
                      </c:pt>
                      <c:pt idx="4">
                        <c:v>2.4539877300613498E-2</c:v>
                      </c:pt>
                      <c:pt idx="5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66F9-420C-B302-3B537E580101}"/>
                  </c:ext>
                </c:extLst>
              </c15:ser>
            </c15:filteredBarSeries>
          </c:ext>
        </c:extLst>
      </c:barChart>
      <c:catAx>
        <c:axId val="2840325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3784832"/>
        <c:crosses val="autoZero"/>
        <c:auto val="1"/>
        <c:lblAlgn val="ctr"/>
        <c:lblOffset val="100"/>
        <c:noMultiLvlLbl val="0"/>
      </c:catAx>
      <c:valAx>
        <c:axId val="283784832"/>
        <c:scaling>
          <c:orientation val="minMax"/>
          <c:max val="0.60000000000000009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403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b="1"/>
              <a:t>Διάγραμμα 10: Συνολικά το 2022 ποιο το ύψος της αύξησης των</a:t>
            </a:r>
            <a:r>
              <a:rPr lang="el-GR" b="1" baseline="0"/>
              <a:t> τιμών αγοράς των εμπορευμάτων από τους προμηθευτές σας;</a:t>
            </a:r>
            <a:endParaRPr lang="el-GR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[graphs_163.xlsx]Φύλλο1!$B$178:$B$186</c:f>
              <c:strCache>
                <c:ptCount val="9"/>
                <c:pt idx="0">
                  <c:v>έως  5%</c:v>
                </c:pt>
                <c:pt idx="1">
                  <c:v>6% - 10%</c:v>
                </c:pt>
                <c:pt idx="2">
                  <c:v>11% - 20%</c:v>
                </c:pt>
                <c:pt idx="3">
                  <c:v>21% - 30%</c:v>
                </c:pt>
                <c:pt idx="4">
                  <c:v>31% - 40%</c:v>
                </c:pt>
                <c:pt idx="5">
                  <c:v>41% - 50%</c:v>
                </c:pt>
                <c:pt idx="6">
                  <c:v>51-60%</c:v>
                </c:pt>
                <c:pt idx="7">
                  <c:v>71% και</c:v>
                </c:pt>
                <c:pt idx="8">
                  <c:v>ΔΓ / ΔΑ</c:v>
                </c:pt>
              </c:strCache>
            </c:strRef>
          </c:cat>
          <c:val>
            <c:numRef>
              <c:f>[graphs_163.xlsx]Φύλλο1!$C$178:$C$186</c:f>
              <c:numCache>
                <c:formatCode>###0%</c:formatCode>
                <c:ptCount val="9"/>
                <c:pt idx="0">
                  <c:v>3.0674846625766871E-2</c:v>
                </c:pt>
                <c:pt idx="1">
                  <c:v>0.23926380368098163</c:v>
                </c:pt>
                <c:pt idx="2">
                  <c:v>0.35582822085889565</c:v>
                </c:pt>
                <c:pt idx="3">
                  <c:v>0.23312883435582818</c:v>
                </c:pt>
                <c:pt idx="4">
                  <c:v>4.2944785276073622E-2</c:v>
                </c:pt>
                <c:pt idx="5">
                  <c:v>1.8404907975460124E-2</c:v>
                </c:pt>
                <c:pt idx="6">
                  <c:v>1.2269938650306749E-2</c:v>
                </c:pt>
                <c:pt idx="7">
                  <c:v>1.2269938650306749E-2</c:v>
                </c:pt>
                <c:pt idx="8">
                  <c:v>5.5214723926380369E-2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0F-48F2-A5ED-4C6E0BCF5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030976"/>
        <c:axId val="290598272"/>
      </c:barChart>
      <c:catAx>
        <c:axId val="28403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90598272"/>
        <c:crosses val="autoZero"/>
        <c:auto val="1"/>
        <c:lblAlgn val="ctr"/>
        <c:lblOffset val="100"/>
        <c:noMultiLvlLbl val="0"/>
      </c:catAx>
      <c:valAx>
        <c:axId val="29059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403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sz="1400" b="1">
                <a:solidFill>
                  <a:schemeClr val="tx1"/>
                </a:solidFill>
                <a:latin typeface="+mn-lt"/>
              </a:rPr>
              <a:t>Διάγραμμα 2: Σε ποιο</a:t>
            </a:r>
            <a:r>
              <a:rPr lang="el-GR" sz="1400" b="1" baseline="0">
                <a:solidFill>
                  <a:schemeClr val="tx1"/>
                </a:solidFill>
                <a:latin typeface="+mn-lt"/>
              </a:rPr>
              <a:t> βαθμό είστε ικανοποιημένος απο τις </a:t>
            </a:r>
            <a:r>
              <a:rPr lang="el-GR" sz="1400" b="1" baseline="0">
                <a:solidFill>
                  <a:srgbClr val="00B050"/>
                </a:solidFill>
                <a:latin typeface="+mn-lt"/>
              </a:rPr>
              <a:t>πωλήσεις </a:t>
            </a:r>
            <a:r>
              <a:rPr lang="el-GR" sz="1400" b="1" baseline="0">
                <a:solidFill>
                  <a:schemeClr val="tx1"/>
                </a:solidFill>
                <a:latin typeface="+mn-lt"/>
              </a:rPr>
              <a:t>του καταστήματός σας κατα την εορταστική περίοδο του 2022;</a:t>
            </a:r>
            <a:endParaRPr lang="el-GR" sz="1400" b="1">
              <a:solidFill>
                <a:schemeClr val="tx1"/>
              </a:solidFill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[graphs_163.xlsx]Φύλλο1!$B$8,[graphs_163.xlsx]Φύλλο1!$B$10,[graphs_163.xlsx]Φύλλο1!$B$12,[graphs_163.xlsx]Φύλλο1!$B$14,[graphs_163.xlsx]Φύλλο1!$B$16,[graphs_163.xlsx]Φύλλο1!$B$20</c:f>
              <c:strCache>
                <c:ptCount val="6"/>
                <c:pt idx="0">
                  <c:v>Καθόλου</c:v>
                </c:pt>
                <c:pt idx="1">
                  <c:v>Λίγο</c:v>
                </c:pt>
                <c:pt idx="2">
                  <c:v>Μέτρια</c:v>
                </c:pt>
                <c:pt idx="3">
                  <c:v>Πολύ</c:v>
                </c:pt>
                <c:pt idx="4">
                  <c:v>Πάρα πολύ</c:v>
                </c:pt>
                <c:pt idx="5">
                  <c:v>Δεν γνωρίζω/Δεν απαντώ </c:v>
                </c:pt>
              </c:strCache>
            </c:strRef>
          </c:cat>
          <c:val>
            <c:numRef>
              <c:f>[graphs_163.xlsx]Φύλλο1!$C$9,[graphs_163.xlsx]Φύλλο1!$C$11,[graphs_163.xlsx]Φύλλο1!$C$13,[graphs_163.xlsx]Φύλλο1!$C$15,[graphs_163.xlsx]Φύλλο1!$C$17,[graphs_163.xlsx]Φύλλο1!$C$21</c:f>
              <c:numCache>
                <c:formatCode>###0.0%</c:formatCode>
                <c:ptCount val="6"/>
                <c:pt idx="0">
                  <c:v>0.11042944785276074</c:v>
                </c:pt>
                <c:pt idx="1">
                  <c:v>7.9754601226993863E-2</c:v>
                </c:pt>
                <c:pt idx="2">
                  <c:v>0.53987730061349692</c:v>
                </c:pt>
                <c:pt idx="3">
                  <c:v>0.24539877300613497</c:v>
                </c:pt>
                <c:pt idx="4">
                  <c:v>2.4539877300613498E-2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51-4447-BEF6-B5BB3C47E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029440"/>
        <c:axId val="28378656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[graphs_163.xlsx]Φύλλο1!$B$8,[graphs_163.xlsx]Φύλλο1!$B$10,[graphs_163.xlsx]Φύλλο1!$B$12,[graphs_163.xlsx]Φύλλο1!$B$14,[graphs_163.xlsx]Φύλλο1!$B$16,[graphs_163.xlsx]Φύλλο1!$B$20</c15:sqref>
                        </c15:formulaRef>
                      </c:ext>
                    </c:extLst>
                    <c:strCache>
                      <c:ptCount val="6"/>
                      <c:pt idx="0">
                        <c:v>Καθόλου</c:v>
                      </c:pt>
                      <c:pt idx="1">
                        <c:v>Λίγο</c:v>
                      </c:pt>
                      <c:pt idx="2">
                        <c:v>Μέτρια</c:v>
                      </c:pt>
                      <c:pt idx="3">
                        <c:v>Πολύ</c:v>
                      </c:pt>
                      <c:pt idx="4">
                        <c:v>Πάρα πολύ</c:v>
                      </c:pt>
                      <c:pt idx="5">
                        <c:v>Δεν γνωρίζω/Δεν απαντώ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[graphs_163.xlsx]Φύλλο1!$C$9,[graphs_163.xlsx]Φύλλο1!$C$11,[graphs_163.xlsx]Φύλλο1!$C$13,[graphs_163.xlsx]Φύλλο1!$C$15,[graphs_163.xlsx]Φύλλο1!$C$17,[graphs_163.xlsx]Φύλλο1!$C$21</c15:sqref>
                        </c15:formulaRef>
                      </c:ext>
                    </c:extLst>
                    <c:numCache>
                      <c:formatCode>###0.0%</c:formatCode>
                      <c:ptCount val="6"/>
                      <c:pt idx="0">
                        <c:v>0.11042944785276074</c:v>
                      </c:pt>
                      <c:pt idx="1">
                        <c:v>7.9754601226993863E-2</c:v>
                      </c:pt>
                      <c:pt idx="2">
                        <c:v>0.53987730061349692</c:v>
                      </c:pt>
                      <c:pt idx="3">
                        <c:v>0.24539877300613497</c:v>
                      </c:pt>
                      <c:pt idx="4">
                        <c:v>2.4539877300613498E-2</c:v>
                      </c:pt>
                      <c:pt idx="5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0-4651-4447-BEF6-B5BB3C47E6E1}"/>
                  </c:ext>
                </c:extLst>
              </c15:ser>
            </c15:filteredBarSeries>
          </c:ext>
        </c:extLst>
      </c:barChart>
      <c:catAx>
        <c:axId val="28402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3786560"/>
        <c:crosses val="autoZero"/>
        <c:auto val="1"/>
        <c:lblAlgn val="ctr"/>
        <c:lblOffset val="100"/>
        <c:noMultiLvlLbl val="0"/>
      </c:catAx>
      <c:valAx>
        <c:axId val="283786560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402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sz="1400" b="1">
                <a:solidFill>
                  <a:schemeClr val="tx1"/>
                </a:solidFill>
                <a:latin typeface="+mn-lt"/>
              </a:rPr>
              <a:t>Διάγραμμα 3: Σε ποιο</a:t>
            </a:r>
            <a:r>
              <a:rPr lang="el-GR" sz="1400" b="1" baseline="0">
                <a:solidFill>
                  <a:schemeClr val="tx1"/>
                </a:solidFill>
                <a:latin typeface="+mn-lt"/>
              </a:rPr>
              <a:t> βαθμό είστε ικανοποιημένος απο την </a:t>
            </a:r>
            <a:r>
              <a:rPr lang="el-GR" sz="1400" b="1" baseline="0">
                <a:solidFill>
                  <a:schemeClr val="accent5"/>
                </a:solidFill>
                <a:latin typeface="+mn-lt"/>
              </a:rPr>
              <a:t>επισκεψιμότητα </a:t>
            </a:r>
            <a:r>
              <a:rPr lang="el-GR" sz="1400" b="1" baseline="0">
                <a:solidFill>
                  <a:schemeClr val="tx1"/>
                </a:solidFill>
                <a:latin typeface="+mn-lt"/>
              </a:rPr>
              <a:t>στο κατάστημά σας κατα την εορταστική περίοδο του 2022;</a:t>
            </a:r>
            <a:endParaRPr lang="el-GR" sz="1400" b="1">
              <a:solidFill>
                <a:schemeClr val="tx1"/>
              </a:solidFill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[graphs_163.xlsx]Φύλλο1!$B$8,[graphs_163.xlsx]Φύλλο1!$B$10,[graphs_163.xlsx]Φύλλο1!$B$12,[graphs_163.xlsx]Φύλλο1!$B$14,[graphs_163.xlsx]Φύλλο1!$B$16,[graphs_163.xlsx]Φύλλο1!$B$20</c:f>
              <c:strCache>
                <c:ptCount val="6"/>
                <c:pt idx="0">
                  <c:v>Καθόλου</c:v>
                </c:pt>
                <c:pt idx="1">
                  <c:v>Λίγο</c:v>
                </c:pt>
                <c:pt idx="2">
                  <c:v>Μέτρια</c:v>
                </c:pt>
                <c:pt idx="3">
                  <c:v>Πολύ</c:v>
                </c:pt>
                <c:pt idx="4">
                  <c:v>Πάρα πολύ</c:v>
                </c:pt>
                <c:pt idx="5">
                  <c:v>Δεν γνωρίζω/Δεν απαντώ </c:v>
                </c:pt>
              </c:strCache>
            </c:strRef>
          </c:cat>
          <c:val>
            <c:numRef>
              <c:f>[graphs_163.xlsx]Φύλλο1!$C$31,[graphs_163.xlsx]Φύλλο1!$C$33,[graphs_163.xlsx]Φύλλο1!$C$35,[graphs_163.xlsx]Φύλλο1!$C$37,[graphs_163.xlsx]Φύλλο1!$C$39,[graphs_163.xlsx]Φύλλο1!$C$43</c:f>
              <c:numCache>
                <c:formatCode>###0.0%</c:formatCode>
                <c:ptCount val="6"/>
                <c:pt idx="0">
                  <c:v>7.3619631901840496E-2</c:v>
                </c:pt>
                <c:pt idx="1">
                  <c:v>7.9754601226993863E-2</c:v>
                </c:pt>
                <c:pt idx="2">
                  <c:v>0.47852760736196326</c:v>
                </c:pt>
                <c:pt idx="3">
                  <c:v>0.33128834355828218</c:v>
                </c:pt>
                <c:pt idx="4">
                  <c:v>3.6809815950920248E-2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3E-4365-AE6A-991777B45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029952"/>
        <c:axId val="28382937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[graphs_163.xlsx]Φύλλο1!$B$8,[graphs_163.xlsx]Φύλλο1!$B$10,[graphs_163.xlsx]Φύλλο1!$B$12,[graphs_163.xlsx]Φύλλο1!$B$14,[graphs_163.xlsx]Φύλλο1!$B$16,[graphs_163.xlsx]Φύλλο1!$B$20</c15:sqref>
                        </c15:formulaRef>
                      </c:ext>
                    </c:extLst>
                    <c:strCache>
                      <c:ptCount val="6"/>
                      <c:pt idx="0">
                        <c:v>Καθόλου</c:v>
                      </c:pt>
                      <c:pt idx="1">
                        <c:v>Λίγο</c:v>
                      </c:pt>
                      <c:pt idx="2">
                        <c:v>Μέτρια</c:v>
                      </c:pt>
                      <c:pt idx="3">
                        <c:v>Πολύ</c:v>
                      </c:pt>
                      <c:pt idx="4">
                        <c:v>Πάρα πολύ</c:v>
                      </c:pt>
                      <c:pt idx="5">
                        <c:v>Δεν γνωρίζω/Δεν απαντώ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[graphs_163.xlsx]Φύλλο1!$C$9,[graphs_163.xlsx]Φύλλο1!$C$11,[graphs_163.xlsx]Φύλλο1!$C$13,[graphs_163.xlsx]Φύλλο1!$C$15,[graphs_163.xlsx]Φύλλο1!$C$17,[graphs_163.xlsx]Φύλλο1!$C$21</c15:sqref>
                        </c15:formulaRef>
                      </c:ext>
                    </c:extLst>
                    <c:numCache>
                      <c:formatCode>###0.0%</c:formatCode>
                      <c:ptCount val="6"/>
                      <c:pt idx="0">
                        <c:v>0.11042944785276074</c:v>
                      </c:pt>
                      <c:pt idx="1">
                        <c:v>7.9754601226993863E-2</c:v>
                      </c:pt>
                      <c:pt idx="2">
                        <c:v>0.53987730061349692</c:v>
                      </c:pt>
                      <c:pt idx="3">
                        <c:v>0.24539877300613497</c:v>
                      </c:pt>
                      <c:pt idx="4">
                        <c:v>2.4539877300613498E-2</c:v>
                      </c:pt>
                      <c:pt idx="5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0-563E-4365-AE6A-991777B45169}"/>
                  </c:ext>
                </c:extLst>
              </c15:ser>
            </c15:filteredBarSeries>
          </c:ext>
        </c:extLst>
      </c:barChart>
      <c:catAx>
        <c:axId val="2840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3829376"/>
        <c:crosses val="autoZero"/>
        <c:auto val="1"/>
        <c:lblAlgn val="ctr"/>
        <c:lblOffset val="100"/>
        <c:noMultiLvlLbl val="0"/>
      </c:catAx>
      <c:valAx>
        <c:axId val="283829376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402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b="1"/>
              <a:t>Διάγραμμα 4: Ποιά ήταν κατά τη</a:t>
            </a:r>
            <a:r>
              <a:rPr lang="el-GR" b="1" baseline="0"/>
              <a:t> γνώμη σας η καλύτερη περίοδος των εορτών από άποψη αγοραστικής κίνησης/ πωλήσεων;  </a:t>
            </a:r>
            <a:endParaRPr lang="el-GR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[graphs_163.xlsx]Φύλλο1!$E$235:$E$238</c:f>
              <c:strCache>
                <c:ptCount val="4"/>
                <c:pt idx="0">
                  <c:v>Πριν από τα Χριστούγεννα</c:v>
                </c:pt>
                <c:pt idx="1">
                  <c:v>Μεταξύ Χριστουγέννων και Πρωτοχρονιάς </c:v>
                </c:pt>
                <c:pt idx="2">
                  <c:v>Δεν υπήρχε διαφορά</c:v>
                </c:pt>
                <c:pt idx="3">
                  <c:v>Δεν γνωρίζω/Δεν απαντώ</c:v>
                </c:pt>
              </c:strCache>
            </c:strRef>
          </c:cat>
          <c:val>
            <c:numRef>
              <c:f>[graphs_163.xlsx]Φύλλο1!$F$235:$F$238</c:f>
              <c:numCache>
                <c:formatCode>###0.0%</c:formatCode>
                <c:ptCount val="4"/>
                <c:pt idx="0">
                  <c:v>0.60122699386503065</c:v>
                </c:pt>
                <c:pt idx="1">
                  <c:v>0.33128834355828218</c:v>
                </c:pt>
                <c:pt idx="2">
                  <c:v>6.7484662576687116E-2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A7-48EF-8DD0-6A20948BE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b="1">
                <a:solidFill>
                  <a:schemeClr val="tx1"/>
                </a:solidFill>
              </a:rPr>
              <a:t>Διάγραμμα 5: Κατά τη διάρκεια της εορταστικής περιόδου πραγματοποιήσατε προσφορές/εκπτώσεις στο κατάστημά σας;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35C-4179-B201-B8BE8E41B6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9B-4FC9-957D-BDA0D04BB055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[graphs_163.xlsx]Φύλλο1!$B$82,[graphs_163.xlsx]Φύλλο1!$B$84</c:f>
              <c:strCache>
                <c:ptCount val="2"/>
                <c:pt idx="0">
                  <c:v>ΝΑΙ </c:v>
                </c:pt>
                <c:pt idx="1">
                  <c:v>ΌΧΙ</c:v>
                </c:pt>
              </c:strCache>
            </c:strRef>
          </c:cat>
          <c:val>
            <c:numRef>
              <c:f>[graphs_163.xlsx]Φύλλο1!$C$83,[graphs_163.xlsx]Φύλλο1!$C$85</c:f>
              <c:numCache>
                <c:formatCode>###0.0%</c:formatCode>
                <c:ptCount val="2"/>
                <c:pt idx="0">
                  <c:v>0.35582822085889565</c:v>
                </c:pt>
                <c:pt idx="1">
                  <c:v>0.64417177914110424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5C-4179-B201-B8BE8E41B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b="1">
                <a:solidFill>
                  <a:schemeClr val="tx1"/>
                </a:solidFill>
              </a:rPr>
              <a:t>Διάγραμμα 6: Την περίοδο των εορτών κινήθηκαν στο κατάστημά σας περισσότερο τα πιο φθηνά ή τα πιο ακριβά εμπορεύματα;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1F-446A-829C-81E945DE97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1F-446A-829C-81E945DE97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1F-446A-829C-81E945DE978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[graphs_163.xlsx]Φύλλο1!$B$92,[graphs_163.xlsx]Φύλλο1!$B$94,[graphs_163.xlsx]Φύλλο1!$B$96</c:f>
              <c:strCache>
                <c:ptCount val="3"/>
                <c:pt idx="0">
                  <c:v>Δεν υπήρχε διαφορα</c:v>
                </c:pt>
                <c:pt idx="1">
                  <c:v>Τα πιο ακριβά </c:v>
                </c:pt>
                <c:pt idx="2">
                  <c:v>Τα πιο φθηνά </c:v>
                </c:pt>
              </c:strCache>
            </c:strRef>
          </c:cat>
          <c:val>
            <c:numRef>
              <c:f>[graphs_163.xlsx]Φύλλο1!$C$93,[graphs_163.xlsx]Φύλλο1!$C$95,[graphs_163.xlsx]Φύλλο1!$C$97</c:f>
              <c:numCache>
                <c:formatCode>###0.0%</c:formatCode>
                <c:ptCount val="3"/>
                <c:pt idx="0">
                  <c:v>0.38036809815950923</c:v>
                </c:pt>
                <c:pt idx="1">
                  <c:v>0.11656441717791409</c:v>
                </c:pt>
                <c:pt idx="2">
                  <c:v>0.50306748466257667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1F-446A-829C-81E945DE978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</c:legendEntry>
      <c:layout>
        <c:manualLayout>
          <c:xMode val="edge"/>
          <c:yMode val="edge"/>
          <c:x val="0.21780170690584208"/>
          <c:y val="0.87687221681559457"/>
          <c:w val="0.69022422693852015"/>
          <c:h val="0.10065587307204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sz="1400" b="1">
                <a:solidFill>
                  <a:schemeClr val="tx1"/>
                </a:solidFill>
                <a:latin typeface="+mn-lt"/>
              </a:rPr>
              <a:t>Διάγραμμα 7: Θα μπορούσατε να κάνετε μια αποτίμηση συνολικά</a:t>
            </a:r>
            <a:r>
              <a:rPr lang="el-GR" sz="1400" b="1" baseline="0">
                <a:solidFill>
                  <a:schemeClr val="tx1"/>
                </a:solidFill>
                <a:latin typeface="+mn-lt"/>
              </a:rPr>
              <a:t> για τις πωλήσεις του 2022 αν αυξήθηκαν/ μειώθηκαν ή παρέμειναν σταθερές σε σχέση με το 2021;</a:t>
            </a:r>
            <a:endParaRPr lang="el-GR" sz="1400" b="1">
              <a:solidFill>
                <a:schemeClr val="tx1"/>
              </a:solidFill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[graphs_163.xlsx]Φύλλο1!$B$106,[graphs_163.xlsx]Φύλλο1!$B$108,[graphs_163.xlsx]Φύλλο1!$B$110,[graphs_163.xlsx]Φύλλο1!$B$112,[graphs_163.xlsx]Φύλλο1!$B$114</c:f>
              <c:strCache>
                <c:ptCount val="5"/>
                <c:pt idx="0">
                  <c:v>Ναι, Αύξηση</c:v>
                </c:pt>
                <c:pt idx="1">
                  <c:v>Ναι, Σταθερότητα</c:v>
                </c:pt>
                <c:pt idx="2">
                  <c:v>Ναι, Μείωση</c:v>
                </c:pt>
                <c:pt idx="3">
                  <c:v>ΌΧΙ, Δεν έχω ακόμα εικόνα για το σύνολο του έτους</c:v>
                </c:pt>
                <c:pt idx="4">
                  <c:v>Δεν γνωρίζω/Δεν απαντώ</c:v>
                </c:pt>
              </c:strCache>
            </c:strRef>
          </c:cat>
          <c:val>
            <c:numRef>
              <c:f>[graphs_163.xlsx]Φύλλο1!$C$107,[graphs_163.xlsx]Φύλλο1!$C$109,[graphs_163.xlsx]Φύλλο1!$C$111,[graphs_163.xlsx]Φύλλο1!$C$113,[graphs_163.xlsx]Φύλλο1!$C$115</c:f>
              <c:numCache>
                <c:formatCode>###0.0%</c:formatCode>
                <c:ptCount val="5"/>
                <c:pt idx="0">
                  <c:v>0.30061349693251532</c:v>
                </c:pt>
                <c:pt idx="1">
                  <c:v>0.26993865030674846</c:v>
                </c:pt>
                <c:pt idx="2">
                  <c:v>0.31901840490797545</c:v>
                </c:pt>
                <c:pt idx="3">
                  <c:v>0.10429447852760737</c:v>
                </c:pt>
                <c:pt idx="4">
                  <c:v>6.1349693251533744E-3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5D-4A7E-A9C5-AFD77A0B5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485376"/>
        <c:axId val="28383456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[graphs_163.xlsx]Φύλλο1!$B$106,[graphs_163.xlsx]Φύλλο1!$B$108,[graphs_163.xlsx]Φύλλο1!$B$110,[graphs_163.xlsx]Φύλλο1!$B$112,[graphs_163.xlsx]Φύλλο1!$B$114</c15:sqref>
                        </c15:formulaRef>
                      </c:ext>
                    </c:extLst>
                    <c:strCache>
                      <c:ptCount val="5"/>
                      <c:pt idx="0">
                        <c:v>Ναι, Αύξηση</c:v>
                      </c:pt>
                      <c:pt idx="1">
                        <c:v>Ναι, Σταθερότητα</c:v>
                      </c:pt>
                      <c:pt idx="2">
                        <c:v>Ναι, Μείωση</c:v>
                      </c:pt>
                      <c:pt idx="3">
                        <c:v>ΌΧΙ, Δεν έχω ακόμα εικόνα για το σύνολο του έτους</c:v>
                      </c:pt>
                      <c:pt idx="4">
                        <c:v>Δεν γνωρίζω/Δεν απαντώ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[graphs_163.xlsx]Φύλλο1!$C$9,[graphs_163.xlsx]Φύλλο1!$C$11,[graphs_163.xlsx]Φύλλο1!$C$13,[graphs_163.xlsx]Φύλλο1!$C$15,[graphs_163.xlsx]Φύλλο1!$C$17,[graphs_163.xlsx]Φύλλο1!$C$21</c15:sqref>
                        </c15:formulaRef>
                      </c:ext>
                    </c:extLst>
                    <c:numCache>
                      <c:formatCode>###0.0%</c:formatCode>
                      <c:ptCount val="6"/>
                      <c:pt idx="0">
                        <c:v>0.11042944785276074</c:v>
                      </c:pt>
                      <c:pt idx="1">
                        <c:v>7.9754601226993863E-2</c:v>
                      </c:pt>
                      <c:pt idx="2">
                        <c:v>0.53987730061349692</c:v>
                      </c:pt>
                      <c:pt idx="3">
                        <c:v>0.24539877300613497</c:v>
                      </c:pt>
                      <c:pt idx="4">
                        <c:v>2.4539877300613498E-2</c:v>
                      </c:pt>
                      <c:pt idx="5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3A5D-4A7E-A9C5-AFD77A0B5E58}"/>
                  </c:ext>
                </c:extLst>
              </c15:ser>
            </c15:filteredBarSeries>
          </c:ext>
        </c:extLst>
      </c:barChart>
      <c:catAx>
        <c:axId val="2884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3834560"/>
        <c:crosses val="autoZero"/>
        <c:auto val="1"/>
        <c:lblAlgn val="ctr"/>
        <c:lblOffset val="100"/>
        <c:noMultiLvlLbl val="0"/>
      </c:catAx>
      <c:valAx>
        <c:axId val="283834560"/>
        <c:scaling>
          <c:orientation val="minMax"/>
          <c:max val="0.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848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sz="1400" b="1">
                <a:solidFill>
                  <a:schemeClr val="tx1"/>
                </a:solidFill>
                <a:latin typeface="+mn-lt"/>
              </a:rPr>
              <a:t>Διάγραμμα 8: Πως προβλέπετε να κινηθούν οι πωλήσεις</a:t>
            </a:r>
            <a:r>
              <a:rPr lang="el-GR" sz="1400" b="1" baseline="0">
                <a:solidFill>
                  <a:schemeClr val="tx1"/>
                </a:solidFill>
                <a:latin typeface="+mn-lt"/>
              </a:rPr>
              <a:t> του καταστήματος σας κατα τη διάρκεια του νέου έτους 2023 σε σχέση με το 2022;</a:t>
            </a:r>
            <a:endParaRPr lang="el-GR" sz="1400" b="1">
              <a:solidFill>
                <a:schemeClr val="tx1"/>
              </a:solidFill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[graphs_163.xlsx]Φύλλο1!$B$122,[graphs_163.xlsx]Φύλλο1!$B$124,[graphs_163.xlsx]Φύλλο1!$B$126,[graphs_163.xlsx]Φύλλο1!$B$128</c:f>
              <c:strCache>
                <c:ptCount val="4"/>
                <c:pt idx="0">
                  <c:v>Αύξηση σε σχέση με το 2022</c:v>
                </c:pt>
                <c:pt idx="1">
                  <c:v>Στασιμότητα</c:v>
                </c:pt>
                <c:pt idx="2">
                  <c:v>Μείωση σε σχέση με το 2022</c:v>
                </c:pt>
                <c:pt idx="3">
                  <c:v>Δεν γνωρίζω/Δεν μπορώ να προβλέψω</c:v>
                </c:pt>
              </c:strCache>
            </c:strRef>
          </c:cat>
          <c:val>
            <c:numRef>
              <c:f>[graphs_163.xlsx]Φύλλο1!$C$123,[graphs_163.xlsx]Φύλλο1!$C$125,[graphs_163.xlsx]Φύλλο1!$C$127,[graphs_163.xlsx]Φύλλο1!$C$129</c:f>
              <c:numCache>
                <c:formatCode>###0.0%</c:formatCode>
                <c:ptCount val="4"/>
                <c:pt idx="0">
                  <c:v>0.19631901840490798</c:v>
                </c:pt>
                <c:pt idx="1">
                  <c:v>0.35582822085889565</c:v>
                </c:pt>
                <c:pt idx="2">
                  <c:v>0.26380368098159507</c:v>
                </c:pt>
                <c:pt idx="3">
                  <c:v>0.18404907975460122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D4-43E7-A59A-2CB86ED02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486912"/>
        <c:axId val="29059481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[graphs_163.xlsx]Φύλλο1!$B$122,[graphs_163.xlsx]Φύλλο1!$B$124,[graphs_163.xlsx]Φύλλο1!$B$126,[graphs_163.xlsx]Φύλλο1!$B$128</c15:sqref>
                        </c15:formulaRef>
                      </c:ext>
                    </c:extLst>
                    <c:strCache>
                      <c:ptCount val="4"/>
                      <c:pt idx="0">
                        <c:v>Αύξηση σε σχέση με το 2022</c:v>
                      </c:pt>
                      <c:pt idx="1">
                        <c:v>Στασιμότητα</c:v>
                      </c:pt>
                      <c:pt idx="2">
                        <c:v>Μείωση σε σχέση με το 2022</c:v>
                      </c:pt>
                      <c:pt idx="3">
                        <c:v>Δεν γνωρίζω/Δεν μπορώ να προβλέψω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[graphs_163.xlsx]Φύλλο1!$C$9,[graphs_163.xlsx]Φύλλο1!$C$11,[graphs_163.xlsx]Φύλλο1!$C$13,[graphs_163.xlsx]Φύλλο1!$C$15,[graphs_163.xlsx]Φύλλο1!$C$17,[graphs_163.xlsx]Φύλλο1!$C$21</c15:sqref>
                        </c15:formulaRef>
                      </c:ext>
                    </c:extLst>
                    <c:numCache>
                      <c:formatCode>###0.0%</c:formatCode>
                      <c:ptCount val="6"/>
                      <c:pt idx="0">
                        <c:v>0.11042944785276074</c:v>
                      </c:pt>
                      <c:pt idx="1">
                        <c:v>7.9754601226993863E-2</c:v>
                      </c:pt>
                      <c:pt idx="2">
                        <c:v>0.53987730061349692</c:v>
                      </c:pt>
                      <c:pt idx="3">
                        <c:v>0.24539877300613497</c:v>
                      </c:pt>
                      <c:pt idx="4">
                        <c:v>2.4539877300613498E-2</c:v>
                      </c:pt>
                      <c:pt idx="5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DFD4-43E7-A59A-2CB86ED025FF}"/>
                  </c:ext>
                </c:extLst>
              </c15:ser>
            </c15:filteredBarSeries>
          </c:ext>
        </c:extLst>
      </c:barChart>
      <c:catAx>
        <c:axId val="28848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90594816"/>
        <c:crosses val="autoZero"/>
        <c:auto val="1"/>
        <c:lblAlgn val="ctr"/>
        <c:lblOffset val="100"/>
        <c:noMultiLvlLbl val="0"/>
      </c:catAx>
      <c:valAx>
        <c:axId val="290594816"/>
        <c:scaling>
          <c:orientation val="minMax"/>
          <c:max val="0.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848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l-GR" sz="1400" b="1">
                <a:solidFill>
                  <a:schemeClr val="tx1"/>
                </a:solidFill>
                <a:latin typeface="+mn-lt"/>
              </a:rPr>
              <a:t>Διάγραμμα 9: Σε τι βαθμό</a:t>
            </a:r>
            <a:r>
              <a:rPr lang="el-GR" sz="1400" b="1" baseline="0">
                <a:solidFill>
                  <a:schemeClr val="tx1"/>
                </a:solidFill>
                <a:latin typeface="+mn-lt"/>
              </a:rPr>
              <a:t> θα λέγατε ότι επηρεάζουν αρνητικά την επιχείρησή σας οι ανατιμήσεις στο ενεργειακό κόστος;</a:t>
            </a:r>
            <a:r>
              <a:rPr lang="el-GR" sz="1400" b="1">
                <a:solidFill>
                  <a:schemeClr val="tx1"/>
                </a:solidFill>
                <a:latin typeface="+mn-lt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354701696144154E-2"/>
          <c:y val="0.29061463057794323"/>
          <c:w val="0.88117117576372728"/>
          <c:h val="0.604367745411116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[graphs_163.xlsx]Φύλλο1!$B$138,[graphs_163.xlsx]Φύλλο1!$B$140,[graphs_163.xlsx]Φύλλο1!$B$142,[graphs_163.xlsx]Φύλλο1!$B$144,[graphs_163.xlsx]Φύλλο1!$B$146</c:f>
              <c:strCache>
                <c:ptCount val="5"/>
                <c:pt idx="0">
                  <c:v> ΚΑΘΟΛΟΥ</c:v>
                </c:pt>
                <c:pt idx="1">
                  <c:v>ΛΙΓΟ </c:v>
                </c:pt>
                <c:pt idx="2">
                  <c:v>ΜΕΤΡΙΑ</c:v>
                </c:pt>
                <c:pt idx="3">
                  <c:v> ΠΟΛΎ</c:v>
                </c:pt>
                <c:pt idx="4">
                  <c:v> ΠΑΡΑ ΠΟΛΥ </c:v>
                </c:pt>
              </c:strCache>
            </c:strRef>
          </c:cat>
          <c:val>
            <c:numRef>
              <c:f>[graphs_163.xlsx]Φύλλο1!$C$139,[graphs_163.xlsx]Φύλλο1!$C$141,[graphs_163.xlsx]Φύλλο1!$C$143,[graphs_163.xlsx]Φύλλο1!$C$145,[graphs_163.xlsx]Φύλλο1!$C$147</c:f>
              <c:numCache>
                <c:formatCode>###0.0%</c:formatCode>
                <c:ptCount val="5"/>
                <c:pt idx="0">
                  <c:v>1.2345679012345678E-2</c:v>
                </c:pt>
                <c:pt idx="1">
                  <c:v>1.2345679012345678E-2</c:v>
                </c:pt>
                <c:pt idx="2">
                  <c:v>0.15432098765432098</c:v>
                </c:pt>
                <c:pt idx="3">
                  <c:v>0.2839506172839506</c:v>
                </c:pt>
                <c:pt idx="4">
                  <c:v>0.53703703703703709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68-45EE-B145-D4BAF9AF1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030464"/>
        <c:axId val="2905965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[graphs_163.xlsx]Φύλλο1!$B$138,[graphs_163.xlsx]Φύλλο1!$B$140,[graphs_163.xlsx]Φύλλο1!$B$142,[graphs_163.xlsx]Φύλλο1!$B$144,[graphs_163.xlsx]Φύλλο1!$B$146</c15:sqref>
                        </c15:formulaRef>
                      </c:ext>
                    </c:extLst>
                    <c:strCache>
                      <c:ptCount val="5"/>
                      <c:pt idx="0">
                        <c:v> ΚΑΘΟΛΟΥ</c:v>
                      </c:pt>
                      <c:pt idx="1">
                        <c:v>ΛΙΓΟ </c:v>
                      </c:pt>
                      <c:pt idx="2">
                        <c:v>ΜΕΤΡΙΑ</c:v>
                      </c:pt>
                      <c:pt idx="3">
                        <c:v> ΠΟΛΎ</c:v>
                      </c:pt>
                      <c:pt idx="4">
                        <c:v> ΠΑΡΑ ΠΟΛΥ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[graphs_163.xlsx]Φύλλο1!$C$9,[graphs_163.xlsx]Φύλλο1!$C$11,[graphs_163.xlsx]Φύλλο1!$C$13,[graphs_163.xlsx]Φύλλο1!$C$15,[graphs_163.xlsx]Φύλλο1!$C$17,[graphs_163.xlsx]Φύλλο1!$C$21</c15:sqref>
                        </c15:formulaRef>
                      </c:ext>
                    </c:extLst>
                    <c:numCache>
                      <c:formatCode>###0.0%</c:formatCode>
                      <c:ptCount val="6"/>
                      <c:pt idx="0">
                        <c:v>0.11042944785276074</c:v>
                      </c:pt>
                      <c:pt idx="1">
                        <c:v>7.9754601226993863E-2</c:v>
                      </c:pt>
                      <c:pt idx="2">
                        <c:v>0.53987730061349692</c:v>
                      </c:pt>
                      <c:pt idx="3">
                        <c:v>0.24539877300613497</c:v>
                      </c:pt>
                      <c:pt idx="4">
                        <c:v>2.4539877300613498E-2</c:v>
                      </c:pt>
                      <c:pt idx="5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1D68-45EE-B145-D4BAF9AF1523}"/>
                  </c:ext>
                </c:extLst>
              </c15:ser>
            </c15:filteredBarSeries>
          </c:ext>
        </c:extLst>
      </c:barChart>
      <c:catAx>
        <c:axId val="28403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90596544"/>
        <c:crosses val="autoZero"/>
        <c:auto val="1"/>
        <c:lblAlgn val="ctr"/>
        <c:lblOffset val="100"/>
        <c:noMultiLvlLbl val="0"/>
      </c:catAx>
      <c:valAx>
        <c:axId val="290596544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8403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B36A-FE73-4FF9-BA41-89A2C425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Charalambos Arachovas</dc:creator>
  <cp:lastModifiedBy>ipaho</cp:lastModifiedBy>
  <cp:revision>5</cp:revision>
  <cp:lastPrinted>2023-01-05T16:08:00Z</cp:lastPrinted>
  <dcterms:created xsi:type="dcterms:W3CDTF">2023-01-06T09:29:00Z</dcterms:created>
  <dcterms:modified xsi:type="dcterms:W3CDTF">2023-01-06T09:54:00Z</dcterms:modified>
</cp:coreProperties>
</file>