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E9F1B" w14:textId="77777777" w:rsidR="00461C65" w:rsidRPr="005C616B" w:rsidRDefault="00000000" w:rsidP="00A15196">
      <w:pPr>
        <w:ind w:left="709" w:right="828"/>
        <w:jc w:val="center"/>
        <w:rPr>
          <w:rFonts w:ascii="Arial" w:hAnsi="Arial" w:cs="Arial"/>
          <w:b/>
          <w:sz w:val="24"/>
          <w:lang w:val="el-GR"/>
        </w:rPr>
      </w:pPr>
      <w:r>
        <w:rPr>
          <w:rFonts w:ascii="Arial" w:hAnsi="Arial" w:cs="Arial"/>
          <w:b/>
          <w:noProof/>
          <w:sz w:val="24"/>
          <w:lang w:val="el-GR" w:eastAsia="el-GR"/>
        </w:rPr>
        <w:pict w14:anchorId="133C43BC">
          <v:rect id="_x0000_s1026" style="position:absolute;left:0;text-align:left;margin-left:-1in;margin-top:-43.2pt;width:597.3pt;height:24.85pt;z-index:251657728" fillcolor="#4f81bd" stroked="f">
            <v:textbox style="mso-next-textbox:#_x0000_s1026">
              <w:txbxContent>
                <w:p w14:paraId="7926FB8E" w14:textId="77777777" w:rsidR="00141CF4" w:rsidRPr="005C616B" w:rsidRDefault="00141CF4" w:rsidP="00F513B8">
                  <w:pPr>
                    <w:jc w:val="center"/>
                    <w:rPr>
                      <w:rFonts w:ascii="Arial" w:hAnsi="Arial" w:cs="Arial"/>
                      <w:imprint/>
                      <w:color w:val="FFFFFF"/>
                    </w:rPr>
                  </w:pPr>
                  <w:r>
                    <w:rPr>
                      <w:rFonts w:ascii="Arial" w:hAnsi="Arial" w:cs="Arial"/>
                      <w:b/>
                      <w:imprint/>
                      <w:color w:val="FFFFFF"/>
                      <w:sz w:val="28"/>
                      <w:lang w:val="el-GR"/>
                    </w:rPr>
                    <w:t>Ινστιτούτο Έρευνα</w:t>
                  </w:r>
                  <w:r w:rsidRPr="005C616B">
                    <w:rPr>
                      <w:rFonts w:ascii="Arial" w:hAnsi="Arial" w:cs="Arial"/>
                      <w:b/>
                      <w:imprint/>
                      <w:color w:val="FFFFFF"/>
                      <w:sz w:val="28"/>
                      <w:lang w:val="el-GR"/>
                    </w:rPr>
                    <w:t>ς Λιανεμπορίου Καταναλωτικών Αγαθών</w:t>
                  </w:r>
                </w:p>
              </w:txbxContent>
            </v:textbox>
          </v:rect>
        </w:pict>
      </w:r>
      <w:r w:rsidR="005B57FF" w:rsidRPr="005C616B">
        <w:rPr>
          <w:rFonts w:ascii="Arial" w:hAnsi="Arial" w:cs="Arial"/>
          <w:b/>
          <w:sz w:val="24"/>
          <w:lang w:val="el-GR"/>
        </w:rPr>
        <w:t xml:space="preserve"> </w:t>
      </w:r>
      <w:r w:rsidR="006334AA">
        <w:rPr>
          <w:rFonts w:ascii="Arial" w:hAnsi="Arial" w:cs="Arial"/>
          <w:b/>
          <w:noProof/>
          <w:sz w:val="24"/>
          <w:lang w:val="el-GR" w:eastAsia="el-GR"/>
        </w:rPr>
        <w:drawing>
          <wp:inline distT="0" distB="0" distL="0" distR="0" wp14:anchorId="09FF2E16" wp14:editId="1D97AA9B">
            <wp:extent cx="2170430" cy="1049655"/>
            <wp:effectExtent l="19050" t="0" r="1270" b="0"/>
            <wp:docPr id="5" name="Picture 2" descr="logotelikoartist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elikoartistik.jpg"/>
                    <pic:cNvPicPr>
                      <a:picLocks noChangeAspect="1" noChangeArrowheads="1"/>
                    </pic:cNvPicPr>
                  </pic:nvPicPr>
                  <pic:blipFill>
                    <a:blip r:embed="rId8" cstate="print"/>
                    <a:srcRect l="1894" t="4581"/>
                    <a:stretch>
                      <a:fillRect/>
                    </a:stretch>
                  </pic:blipFill>
                  <pic:spPr bwMode="auto">
                    <a:xfrm>
                      <a:off x="0" y="0"/>
                      <a:ext cx="2170430" cy="1049655"/>
                    </a:xfrm>
                    <a:prstGeom prst="rect">
                      <a:avLst/>
                    </a:prstGeom>
                    <a:noFill/>
                    <a:ln w="9525">
                      <a:noFill/>
                      <a:miter lim="800000"/>
                      <a:headEnd/>
                      <a:tailEnd/>
                    </a:ln>
                  </pic:spPr>
                </pic:pic>
              </a:graphicData>
            </a:graphic>
          </wp:inline>
        </w:drawing>
      </w:r>
    </w:p>
    <w:p w14:paraId="599A9DDB" w14:textId="31CD82A8" w:rsidR="004262DB" w:rsidRPr="00B262D4" w:rsidRDefault="0006560B" w:rsidP="004262DB">
      <w:pPr>
        <w:pBdr>
          <w:bottom w:val="single" w:sz="4" w:space="1" w:color="auto"/>
        </w:pBdr>
        <w:ind w:right="-58"/>
        <w:rPr>
          <w:rFonts w:ascii="Arial" w:hAnsi="Arial" w:cs="Arial"/>
          <w:b/>
          <w:sz w:val="32"/>
          <w:lang w:val="el-GR"/>
        </w:rPr>
      </w:pPr>
      <w:r>
        <w:rPr>
          <w:rFonts w:ascii="Arial" w:hAnsi="Arial" w:cs="Arial"/>
          <w:b/>
          <w:sz w:val="32"/>
          <w:lang w:val="el-GR"/>
        </w:rPr>
        <w:t xml:space="preserve">Ανακοίνωση τύπου            </w:t>
      </w:r>
      <w:r w:rsidR="004262DB" w:rsidRPr="005C616B">
        <w:rPr>
          <w:rFonts w:ascii="Arial" w:hAnsi="Arial" w:cs="Arial"/>
          <w:b/>
          <w:sz w:val="32"/>
          <w:lang w:val="el-GR"/>
        </w:rPr>
        <w:t xml:space="preserve">       </w:t>
      </w:r>
      <w:r w:rsidR="006334AA">
        <w:rPr>
          <w:rFonts w:ascii="Arial" w:hAnsi="Arial" w:cs="Arial"/>
          <w:b/>
          <w:sz w:val="32"/>
          <w:lang w:val="el-GR"/>
        </w:rPr>
        <w:t xml:space="preserve">                    </w:t>
      </w:r>
      <w:r w:rsidR="006334AA">
        <w:rPr>
          <w:rFonts w:ascii="Arial" w:hAnsi="Arial" w:cs="Arial"/>
          <w:b/>
          <w:sz w:val="32"/>
          <w:lang w:val="el-GR"/>
        </w:rPr>
        <w:tab/>
        <w:t xml:space="preserve">     </w:t>
      </w:r>
      <w:r w:rsidR="002A0FE9">
        <w:rPr>
          <w:rFonts w:ascii="Arial" w:hAnsi="Arial" w:cs="Arial"/>
          <w:b/>
          <w:sz w:val="32"/>
          <w:lang w:val="el-GR"/>
        </w:rPr>
        <w:t xml:space="preserve"> </w:t>
      </w:r>
      <w:r w:rsidR="00111856">
        <w:rPr>
          <w:rFonts w:ascii="Arial" w:hAnsi="Arial" w:cs="Arial"/>
          <w:b/>
          <w:sz w:val="32"/>
          <w:lang w:val="el-GR"/>
        </w:rPr>
        <w:t xml:space="preserve">  </w:t>
      </w:r>
      <w:r w:rsidR="00FC760D">
        <w:rPr>
          <w:rFonts w:ascii="Arial" w:hAnsi="Arial" w:cs="Arial"/>
          <w:b/>
          <w:sz w:val="32"/>
          <w:lang w:val="el-GR"/>
        </w:rPr>
        <w:t xml:space="preserve">   </w:t>
      </w:r>
      <w:r w:rsidR="005B6451" w:rsidRPr="005B6451">
        <w:rPr>
          <w:rFonts w:ascii="Arial" w:hAnsi="Arial" w:cs="Arial"/>
          <w:b/>
          <w:sz w:val="32"/>
          <w:lang w:val="el-GR"/>
        </w:rPr>
        <w:t xml:space="preserve"> </w:t>
      </w:r>
      <w:r w:rsidR="001A268F">
        <w:rPr>
          <w:rFonts w:ascii="Arial" w:hAnsi="Arial" w:cs="Arial"/>
          <w:b/>
          <w:sz w:val="32"/>
        </w:rPr>
        <w:t xml:space="preserve">   4/7</w:t>
      </w:r>
      <w:r w:rsidR="00127643">
        <w:rPr>
          <w:rFonts w:ascii="Arial" w:hAnsi="Arial" w:cs="Arial"/>
          <w:b/>
          <w:sz w:val="32"/>
          <w:lang w:val="el-GR"/>
        </w:rPr>
        <w:t>/20</w:t>
      </w:r>
      <w:r w:rsidR="00B622DA">
        <w:rPr>
          <w:rFonts w:ascii="Arial" w:hAnsi="Arial" w:cs="Arial"/>
          <w:b/>
          <w:sz w:val="32"/>
          <w:lang w:val="el-GR"/>
        </w:rPr>
        <w:t>2</w:t>
      </w:r>
      <w:r w:rsidR="00DE5A12">
        <w:rPr>
          <w:rFonts w:ascii="Arial" w:hAnsi="Arial" w:cs="Arial"/>
          <w:b/>
          <w:sz w:val="32"/>
          <w:lang w:val="el-GR"/>
        </w:rPr>
        <w:t>2</w:t>
      </w:r>
    </w:p>
    <w:p w14:paraId="1BA6CC9A" w14:textId="6ADEA20A" w:rsidR="000458F6" w:rsidRPr="000458F6" w:rsidRDefault="005B6451" w:rsidP="003528C0">
      <w:pPr>
        <w:rPr>
          <w:rFonts w:ascii="Arial" w:hAnsi="Arial" w:cs="Arial"/>
          <w:b/>
          <w:sz w:val="28"/>
          <w:lang w:val="el-GR"/>
        </w:rPr>
      </w:pPr>
      <w:r>
        <w:rPr>
          <w:rFonts w:ascii="Arial" w:hAnsi="Arial" w:cs="Arial"/>
          <w:b/>
          <w:sz w:val="27"/>
          <w:szCs w:val="27"/>
          <w:lang w:val="el-GR"/>
        </w:rPr>
        <w:t>Έρευνα τάσεων στελεχών</w:t>
      </w:r>
      <w:r w:rsidR="000458F6">
        <w:rPr>
          <w:rFonts w:ascii="Arial" w:hAnsi="Arial" w:cs="Arial"/>
          <w:b/>
          <w:sz w:val="27"/>
          <w:szCs w:val="27"/>
          <w:lang w:val="el-GR"/>
        </w:rPr>
        <w:t xml:space="preserve"> λιανεμπορίου και βιομηχανίας </w:t>
      </w:r>
      <w:r w:rsidR="000458F6">
        <w:rPr>
          <w:rFonts w:ascii="Arial" w:hAnsi="Arial" w:cs="Arial"/>
          <w:b/>
          <w:sz w:val="27"/>
          <w:szCs w:val="27"/>
        </w:rPr>
        <w:t>FMCG</w:t>
      </w:r>
      <w:r w:rsidR="000458F6">
        <w:rPr>
          <w:rFonts w:ascii="Arial" w:hAnsi="Arial" w:cs="Arial"/>
          <w:b/>
          <w:sz w:val="27"/>
          <w:szCs w:val="27"/>
          <w:lang w:val="el-GR"/>
        </w:rPr>
        <w:t>:</w:t>
      </w:r>
    </w:p>
    <w:p w14:paraId="6903F4F4" w14:textId="5077F20F" w:rsidR="006D0C49" w:rsidRPr="000458F6" w:rsidRDefault="00424FD2" w:rsidP="000458F6">
      <w:pPr>
        <w:pStyle w:val="ListParagraph"/>
        <w:numPr>
          <w:ilvl w:val="0"/>
          <w:numId w:val="25"/>
        </w:numPr>
        <w:rPr>
          <w:rFonts w:ascii="Arial" w:hAnsi="Arial" w:cs="Arial"/>
          <w:b/>
          <w:sz w:val="24"/>
          <w:lang w:val="el-GR"/>
        </w:rPr>
      </w:pPr>
      <w:r>
        <w:rPr>
          <w:rFonts w:ascii="Arial" w:hAnsi="Arial" w:cs="Arial"/>
          <w:b/>
          <w:sz w:val="24"/>
          <w:lang w:val="el-GR"/>
        </w:rPr>
        <w:t>56% των επιχειρήσεων αναμένουν χειρότερο οικονομικό αποτέλεσμα το 2022 και 1 στις 4 αναμένει ζημιές</w:t>
      </w:r>
    </w:p>
    <w:p w14:paraId="57D919A5" w14:textId="36882072" w:rsidR="0099150B" w:rsidRDefault="00424FD2" w:rsidP="000458F6">
      <w:pPr>
        <w:pStyle w:val="ListParagraph"/>
        <w:numPr>
          <w:ilvl w:val="0"/>
          <w:numId w:val="25"/>
        </w:numPr>
        <w:rPr>
          <w:rFonts w:ascii="Arial" w:hAnsi="Arial" w:cs="Arial"/>
          <w:b/>
          <w:sz w:val="24"/>
          <w:lang w:val="el-GR"/>
        </w:rPr>
      </w:pPr>
      <w:r>
        <w:rPr>
          <w:rFonts w:ascii="Arial" w:hAnsi="Arial" w:cs="Arial"/>
          <w:b/>
          <w:sz w:val="24"/>
          <w:lang w:val="el-GR"/>
        </w:rPr>
        <w:t>Κόστος ενέργειας, διεθνείς τιμές πρώτων υλών και καύσιμα</w:t>
      </w:r>
      <w:r w:rsidR="00866DB9" w:rsidRPr="00866DB9">
        <w:rPr>
          <w:rFonts w:ascii="Arial" w:hAnsi="Arial" w:cs="Arial"/>
          <w:b/>
          <w:sz w:val="24"/>
          <w:lang w:val="el-GR"/>
        </w:rPr>
        <w:t xml:space="preserve"> </w:t>
      </w:r>
      <w:r w:rsidR="00866DB9">
        <w:rPr>
          <w:rFonts w:ascii="Arial" w:hAnsi="Arial" w:cs="Arial"/>
          <w:b/>
          <w:sz w:val="24"/>
          <w:lang w:val="el-GR"/>
        </w:rPr>
        <w:t>για τις μεταφορές</w:t>
      </w:r>
      <w:r>
        <w:rPr>
          <w:rFonts w:ascii="Arial" w:hAnsi="Arial" w:cs="Arial"/>
          <w:b/>
          <w:sz w:val="24"/>
          <w:lang w:val="el-GR"/>
        </w:rPr>
        <w:t xml:space="preserve"> οι βασικές αιτίες των ανατιμήσεων</w:t>
      </w:r>
    </w:p>
    <w:p w14:paraId="47EF94CD" w14:textId="156FAB98" w:rsidR="005B6451" w:rsidRDefault="00424FD2" w:rsidP="00E1316E">
      <w:pPr>
        <w:pStyle w:val="ListParagraph"/>
        <w:numPr>
          <w:ilvl w:val="0"/>
          <w:numId w:val="25"/>
        </w:numPr>
        <w:rPr>
          <w:rFonts w:ascii="Arial" w:hAnsi="Arial" w:cs="Arial"/>
          <w:b/>
          <w:sz w:val="24"/>
          <w:lang w:val="el-GR"/>
        </w:rPr>
      </w:pPr>
      <w:r w:rsidRPr="00866DB9">
        <w:rPr>
          <w:rFonts w:ascii="Arial" w:hAnsi="Arial" w:cs="Arial"/>
          <w:b/>
          <w:sz w:val="24"/>
          <w:lang w:val="el-GR"/>
        </w:rPr>
        <w:t>9 στις 10 επιχειρήσεων έχουν απορροφήσει μέρος των ανατιμήσεων</w:t>
      </w:r>
      <w:r w:rsidR="00866DB9" w:rsidRPr="00866DB9">
        <w:rPr>
          <w:rFonts w:ascii="Arial" w:hAnsi="Arial" w:cs="Arial"/>
          <w:b/>
          <w:sz w:val="24"/>
          <w:lang w:val="el-GR"/>
        </w:rPr>
        <w:t xml:space="preserve">, ενώ </w:t>
      </w:r>
      <w:r w:rsidR="00866DB9">
        <w:rPr>
          <w:rFonts w:ascii="Arial" w:hAnsi="Arial" w:cs="Arial"/>
          <w:b/>
          <w:sz w:val="24"/>
          <w:lang w:val="el-GR"/>
        </w:rPr>
        <w:t>π</w:t>
      </w:r>
      <w:r w:rsidRPr="00866DB9">
        <w:rPr>
          <w:rFonts w:ascii="Arial" w:hAnsi="Arial" w:cs="Arial"/>
          <w:b/>
          <w:sz w:val="24"/>
          <w:lang w:val="el-GR"/>
        </w:rPr>
        <w:t xml:space="preserve">ερίπου το ¼ των αυξήσεων </w:t>
      </w:r>
      <w:r w:rsidR="00866DB9">
        <w:rPr>
          <w:rFonts w:ascii="Arial" w:hAnsi="Arial" w:cs="Arial"/>
          <w:b/>
          <w:sz w:val="24"/>
          <w:lang w:val="el-GR"/>
        </w:rPr>
        <w:t xml:space="preserve">στα κόστη </w:t>
      </w:r>
      <w:r w:rsidRPr="00866DB9">
        <w:rPr>
          <w:rFonts w:ascii="Arial" w:hAnsi="Arial" w:cs="Arial"/>
          <w:b/>
          <w:sz w:val="24"/>
          <w:lang w:val="el-GR"/>
        </w:rPr>
        <w:t>δεν έχουν περάσει στις τελικές τιμές</w:t>
      </w:r>
    </w:p>
    <w:p w14:paraId="781691E6" w14:textId="36C47AC1" w:rsidR="00866DB9" w:rsidRPr="00866DB9" w:rsidRDefault="00866DB9" w:rsidP="00E1316E">
      <w:pPr>
        <w:pStyle w:val="ListParagraph"/>
        <w:numPr>
          <w:ilvl w:val="0"/>
          <w:numId w:val="25"/>
        </w:numPr>
        <w:rPr>
          <w:rFonts w:ascii="Arial" w:hAnsi="Arial" w:cs="Arial"/>
          <w:b/>
          <w:sz w:val="24"/>
          <w:lang w:val="el-GR"/>
        </w:rPr>
      </w:pPr>
      <w:r>
        <w:rPr>
          <w:rFonts w:ascii="Arial" w:hAnsi="Arial" w:cs="Arial"/>
          <w:b/>
          <w:sz w:val="24"/>
          <w:lang w:val="el-GR"/>
        </w:rPr>
        <w:t>Η αρνητική επίδραση του πολέμου στην Ουκρανία αξιολογείται υψηλότερα από αυτή της πανδημίας</w:t>
      </w:r>
    </w:p>
    <w:p w14:paraId="3F864A37" w14:textId="17D614A3" w:rsidR="00637C11" w:rsidRPr="00A11970" w:rsidRDefault="00824021" w:rsidP="00A11970">
      <w:pPr>
        <w:jc w:val="both"/>
        <w:rPr>
          <w:rFonts w:ascii="Arial" w:hAnsi="Arial" w:cs="Arial"/>
          <w:lang w:val="el-GR"/>
        </w:rPr>
      </w:pPr>
      <w:r>
        <w:rPr>
          <w:rFonts w:ascii="Arial" w:hAnsi="Arial" w:cs="Arial"/>
          <w:lang w:val="el-GR"/>
        </w:rPr>
        <w:t>Η</w:t>
      </w:r>
      <w:r w:rsidR="00641713" w:rsidRPr="00641713">
        <w:rPr>
          <w:rFonts w:ascii="Arial" w:hAnsi="Arial" w:cs="Arial"/>
          <w:lang w:val="el-GR"/>
        </w:rPr>
        <w:t xml:space="preserve"> κυλιόμενη </w:t>
      </w:r>
      <w:r w:rsidR="00641713" w:rsidRPr="00641713">
        <w:rPr>
          <w:rFonts w:ascii="Arial" w:hAnsi="Arial" w:cs="Arial"/>
          <w:b/>
          <w:lang w:val="el-GR"/>
        </w:rPr>
        <w:t xml:space="preserve">Έρευνα Τάσεων στο Λιανεμπόριο FMCG </w:t>
      </w:r>
      <w:r w:rsidR="00641713" w:rsidRPr="00641713">
        <w:rPr>
          <w:rFonts w:ascii="Arial" w:hAnsi="Arial" w:cs="Arial"/>
          <w:lang w:val="el-GR"/>
        </w:rPr>
        <w:t>του Ινστιτούτου Έρευνας Λιανεμπορίου Καταναλωτικών Αγαθών (ΙΕΛΚΑ)</w:t>
      </w:r>
      <w:r>
        <w:rPr>
          <w:rFonts w:ascii="Arial" w:hAnsi="Arial" w:cs="Arial"/>
          <w:lang w:val="el-GR"/>
        </w:rPr>
        <w:t xml:space="preserve"> </w:t>
      </w:r>
      <w:r w:rsidR="00641713" w:rsidRPr="00641713">
        <w:rPr>
          <w:rFonts w:ascii="Arial" w:hAnsi="Arial" w:cs="Arial"/>
          <w:lang w:val="el-GR"/>
        </w:rPr>
        <w:t xml:space="preserve">καταγράφει τις απόψεις των στελεχών επιχειρήσεων του κλάδου για τα κύρια κλαδικά θέματα και προκλήσεις. Η </w:t>
      </w:r>
      <w:r w:rsidR="009C4ECB">
        <w:rPr>
          <w:rFonts w:ascii="Arial" w:hAnsi="Arial" w:cs="Arial"/>
          <w:lang w:val="el-GR"/>
        </w:rPr>
        <w:t xml:space="preserve">έρευνα διεξήχθη </w:t>
      </w:r>
      <w:r w:rsidR="000458F6">
        <w:rPr>
          <w:rFonts w:ascii="Arial" w:hAnsi="Arial" w:cs="Arial"/>
          <w:lang w:val="el-GR"/>
        </w:rPr>
        <w:t>την περίοδο</w:t>
      </w:r>
      <w:r w:rsidR="009C4ECB">
        <w:rPr>
          <w:rFonts w:ascii="Arial" w:hAnsi="Arial" w:cs="Arial"/>
          <w:lang w:val="el-GR"/>
        </w:rPr>
        <w:t xml:space="preserve"> </w:t>
      </w:r>
      <w:r w:rsidR="00487805">
        <w:rPr>
          <w:rFonts w:ascii="Arial" w:hAnsi="Arial" w:cs="Arial"/>
          <w:lang w:val="el-GR"/>
        </w:rPr>
        <w:t>13</w:t>
      </w:r>
      <w:r w:rsidR="00DE2351">
        <w:rPr>
          <w:rFonts w:ascii="Arial" w:hAnsi="Arial" w:cs="Arial"/>
          <w:lang w:val="el-GR"/>
        </w:rPr>
        <w:t xml:space="preserve"> </w:t>
      </w:r>
      <w:r w:rsidR="0056756F">
        <w:rPr>
          <w:rFonts w:ascii="Arial" w:hAnsi="Arial" w:cs="Arial"/>
          <w:lang w:val="el-GR"/>
        </w:rPr>
        <w:t xml:space="preserve">έως </w:t>
      </w:r>
      <w:r w:rsidR="00487805">
        <w:rPr>
          <w:rFonts w:ascii="Arial" w:hAnsi="Arial" w:cs="Arial"/>
          <w:lang w:val="el-GR"/>
        </w:rPr>
        <w:t>25</w:t>
      </w:r>
      <w:r w:rsidR="00DE2351">
        <w:rPr>
          <w:rFonts w:ascii="Arial" w:hAnsi="Arial" w:cs="Arial"/>
          <w:lang w:val="el-GR"/>
        </w:rPr>
        <w:t xml:space="preserve"> </w:t>
      </w:r>
      <w:r w:rsidR="00487805">
        <w:rPr>
          <w:rFonts w:ascii="Arial" w:hAnsi="Arial" w:cs="Arial"/>
          <w:lang w:val="el-GR"/>
        </w:rPr>
        <w:t>Μαίου</w:t>
      </w:r>
      <w:r w:rsidR="00B622DA">
        <w:rPr>
          <w:rFonts w:ascii="Arial" w:hAnsi="Arial" w:cs="Arial"/>
          <w:lang w:val="el-GR"/>
        </w:rPr>
        <w:t xml:space="preserve"> 202</w:t>
      </w:r>
      <w:r w:rsidR="00487805">
        <w:rPr>
          <w:rFonts w:ascii="Arial" w:hAnsi="Arial" w:cs="Arial"/>
          <w:lang w:val="el-GR"/>
        </w:rPr>
        <w:t>2</w:t>
      </w:r>
      <w:r w:rsidR="009C4ECB">
        <w:rPr>
          <w:rFonts w:ascii="Arial" w:hAnsi="Arial" w:cs="Arial"/>
          <w:lang w:val="el-GR"/>
        </w:rPr>
        <w:t xml:space="preserve"> </w:t>
      </w:r>
      <w:r w:rsidR="00641713" w:rsidRPr="00641713">
        <w:rPr>
          <w:rFonts w:ascii="Arial" w:hAnsi="Arial" w:cs="Arial"/>
          <w:lang w:val="el-GR"/>
        </w:rPr>
        <w:t xml:space="preserve">με τη χρήση δομημένου ερωτηματολογίου και δείγμα </w:t>
      </w:r>
      <w:r w:rsidR="000458F6">
        <w:rPr>
          <w:rFonts w:ascii="Arial" w:hAnsi="Arial" w:cs="Arial"/>
          <w:lang w:val="el-GR"/>
        </w:rPr>
        <w:t>1</w:t>
      </w:r>
      <w:r w:rsidR="00487805">
        <w:rPr>
          <w:rFonts w:ascii="Arial" w:hAnsi="Arial" w:cs="Arial"/>
          <w:lang w:val="el-GR"/>
        </w:rPr>
        <w:t>5</w:t>
      </w:r>
      <w:r w:rsidR="00E81092">
        <w:rPr>
          <w:rFonts w:ascii="Arial" w:hAnsi="Arial" w:cs="Arial"/>
          <w:lang w:val="el-GR"/>
        </w:rPr>
        <w:t>0</w:t>
      </w:r>
      <w:r w:rsidR="00641713" w:rsidRPr="00641713">
        <w:rPr>
          <w:rFonts w:ascii="Arial" w:hAnsi="Arial" w:cs="Arial"/>
          <w:lang w:val="el-GR"/>
        </w:rPr>
        <w:t xml:space="preserve"> ανώτερα </w:t>
      </w:r>
      <w:r w:rsidR="009C4ECB">
        <w:rPr>
          <w:rFonts w:ascii="Arial" w:hAnsi="Arial" w:cs="Arial"/>
          <w:lang w:val="el-GR"/>
        </w:rPr>
        <w:t xml:space="preserve">και ανώτατα </w:t>
      </w:r>
      <w:r w:rsidR="00641713" w:rsidRPr="00641713">
        <w:rPr>
          <w:rFonts w:ascii="Arial" w:hAnsi="Arial" w:cs="Arial"/>
          <w:lang w:val="el-GR"/>
        </w:rPr>
        <w:t>Στελέχη Επιχειρήσεων (Λιανεμπόριο</w:t>
      </w:r>
      <w:r w:rsidR="0099150B">
        <w:rPr>
          <w:rFonts w:ascii="Arial" w:hAnsi="Arial" w:cs="Arial"/>
          <w:lang w:val="el-GR"/>
        </w:rPr>
        <w:t>-Αλυσίδες σουπερμάρκετ</w:t>
      </w:r>
      <w:r w:rsidR="00641713" w:rsidRPr="00641713">
        <w:rPr>
          <w:rFonts w:ascii="Arial" w:hAnsi="Arial" w:cs="Arial"/>
          <w:lang w:val="el-GR"/>
        </w:rPr>
        <w:t xml:space="preserve"> και Προμηθευτές FMCG) από τη Γενική Διεύθυνση και τα τμήματα </w:t>
      </w:r>
      <w:r w:rsidR="00641713" w:rsidRPr="00641713">
        <w:rPr>
          <w:rFonts w:ascii="Arial" w:hAnsi="Arial" w:cs="Arial"/>
        </w:rPr>
        <w:t>Marketing</w:t>
      </w:r>
      <w:r w:rsidR="00641713" w:rsidRPr="00641713">
        <w:rPr>
          <w:rFonts w:ascii="Arial" w:hAnsi="Arial" w:cs="Arial"/>
          <w:lang w:val="el-GR"/>
        </w:rPr>
        <w:t>, Πωλήσεων. Αγορών, Οικονομικών, Πληροφορική κλπ.</w:t>
      </w:r>
      <w:r w:rsidR="006A1908">
        <w:rPr>
          <w:rFonts w:ascii="Arial" w:hAnsi="Arial" w:cs="Arial"/>
          <w:lang w:val="el-GR"/>
        </w:rPr>
        <w:t xml:space="preserve"> </w:t>
      </w:r>
    </w:p>
    <w:p w14:paraId="1DD9F82C" w14:textId="179A9C53" w:rsidR="002F62CD" w:rsidRPr="00424FD2" w:rsidRDefault="002F62CD" w:rsidP="002F62CD">
      <w:pPr>
        <w:pStyle w:val="Caption"/>
        <w:rPr>
          <w:rFonts w:ascii="Arial" w:hAnsi="Arial" w:cs="Arial"/>
        </w:rPr>
      </w:pPr>
      <w:r w:rsidRPr="00564824">
        <w:rPr>
          <w:rFonts w:ascii="Arial" w:hAnsi="Arial" w:cs="Arial"/>
        </w:rPr>
        <w:t xml:space="preserve">Σχήμα </w:t>
      </w:r>
      <w:r w:rsidR="00CE4287" w:rsidRPr="00564824">
        <w:rPr>
          <w:rFonts w:ascii="Arial" w:hAnsi="Arial" w:cs="Arial"/>
        </w:rPr>
        <w:fldChar w:fldCharType="begin"/>
      </w:r>
      <w:r w:rsidRPr="00564824">
        <w:rPr>
          <w:rFonts w:ascii="Arial" w:hAnsi="Arial" w:cs="Arial"/>
        </w:rPr>
        <w:instrText xml:space="preserve"> SEQ Σχήμα \* ARABIC </w:instrText>
      </w:r>
      <w:r w:rsidR="00CE4287" w:rsidRPr="00564824">
        <w:rPr>
          <w:rFonts w:ascii="Arial" w:hAnsi="Arial" w:cs="Arial"/>
        </w:rPr>
        <w:fldChar w:fldCharType="separate"/>
      </w:r>
      <w:r w:rsidR="009302EF">
        <w:rPr>
          <w:rFonts w:ascii="Arial" w:hAnsi="Arial" w:cs="Arial"/>
          <w:noProof/>
        </w:rPr>
        <w:t>1</w:t>
      </w:r>
      <w:r w:rsidR="00CE4287" w:rsidRPr="00564824">
        <w:rPr>
          <w:rFonts w:ascii="Arial" w:hAnsi="Arial" w:cs="Arial"/>
        </w:rPr>
        <w:fldChar w:fldCharType="end"/>
      </w:r>
      <w:r w:rsidRPr="00564824">
        <w:rPr>
          <w:rFonts w:ascii="Arial" w:hAnsi="Arial" w:cs="Arial"/>
        </w:rPr>
        <w:t xml:space="preserve">: </w:t>
      </w:r>
      <w:r w:rsidR="00424FD2">
        <w:rPr>
          <w:rFonts w:ascii="Arial" w:hAnsi="Arial" w:cs="Arial"/>
        </w:rPr>
        <w:t>Εκτίμηση για το οικονομικό αποτέλεσμα των επιχειρήσεων του λιανεμπορίου και της βιομηχανίας τροφίμων</w:t>
      </w:r>
    </w:p>
    <w:p w14:paraId="14655DF3" w14:textId="1740723D" w:rsidR="001A268F" w:rsidRDefault="001A268F" w:rsidP="00424FD2">
      <w:pPr>
        <w:ind w:left="-900" w:right="-693"/>
        <w:rPr>
          <w:lang w:val="el-GR"/>
        </w:rPr>
      </w:pPr>
      <w:r w:rsidRPr="001A268F">
        <w:drawing>
          <wp:inline distT="0" distB="0" distL="0" distR="0" wp14:anchorId="7AE87700" wp14:editId="21C41AE9">
            <wp:extent cx="3246120" cy="315468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1A268F">
        <w:drawing>
          <wp:inline distT="0" distB="0" distL="0" distR="0" wp14:anchorId="5DD51A26" wp14:editId="7E0815FC">
            <wp:extent cx="3162300" cy="3173095"/>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E71A114" w14:textId="1ED4CE52" w:rsidR="00424FD2" w:rsidRPr="00424FD2" w:rsidRDefault="00424FD2" w:rsidP="00424FD2">
      <w:pPr>
        <w:jc w:val="both"/>
        <w:rPr>
          <w:rFonts w:ascii="Arial" w:hAnsi="Arial" w:cs="Arial"/>
          <w:lang w:val="el-GR"/>
        </w:rPr>
      </w:pPr>
      <w:r w:rsidRPr="00424FD2">
        <w:rPr>
          <w:rFonts w:ascii="Arial" w:hAnsi="Arial" w:cs="Arial"/>
          <w:lang w:val="el-GR"/>
        </w:rPr>
        <w:lastRenderedPageBreak/>
        <w:t>Ανάμεσα</w:t>
      </w:r>
      <w:r>
        <w:rPr>
          <w:rFonts w:ascii="Arial" w:hAnsi="Arial" w:cs="Arial"/>
          <w:lang w:val="el-GR"/>
        </w:rPr>
        <w:t xml:space="preserve"> στα θέματα που εξετά</w:t>
      </w:r>
      <w:r w:rsidR="00512FE7">
        <w:rPr>
          <w:rFonts w:ascii="Arial" w:hAnsi="Arial" w:cs="Arial"/>
          <w:lang w:val="el-GR"/>
        </w:rPr>
        <w:t>στηκαν, διερευνήθηκε και η παρούσα οικονομική κατάσταση των επιχειρήσεων, αλλά και η επίδραση των ανατιμήσεων. Όπως καταγράφεται στο σχήμα 1, η πλειοψηφία των επιχειρήσεων σε ποσοστό 56% αναμένει χειρότερο οικονομικό αποτέλεσμα ως προς την κερδοφορία της το 2022, ενώ μόλις 11% αναμένει καλύτερο οικονομικό αποτέλεσμα. Οι υπόλοιπες επιχειρήσεις του δείγματος, είτε δεν έχουν ακόμα σαφή εικόνα, είτε δεν αναμένουν μεταβολή. Πρακτικά 1 στις 4 επιχειρήσεις του κλάδου του λιανεμπορίου και της βιομηχανίας τροφίμων αναμένει ζημιές το 2022, ενώ μόλις 1 στις 2 αναμένει κέρδη, αλλά και από αυτές που αναμένουν κέρδη, οι μισές εταιρείες αναμένουν οριακά κέρδη κάτω του 2%.</w:t>
      </w:r>
    </w:p>
    <w:p w14:paraId="5E361F97" w14:textId="20637CBC" w:rsidR="00512FE7" w:rsidRPr="00512FE7" w:rsidRDefault="00512FE7" w:rsidP="00512FE7">
      <w:pPr>
        <w:pStyle w:val="Caption"/>
        <w:rPr>
          <w:rFonts w:ascii="Arial" w:hAnsi="Arial" w:cs="Arial"/>
        </w:rPr>
      </w:pPr>
      <w:r w:rsidRPr="00512FE7">
        <w:rPr>
          <w:rFonts w:ascii="Arial" w:hAnsi="Arial" w:cs="Arial"/>
        </w:rPr>
        <w:t xml:space="preserve">Σχήμα </w:t>
      </w:r>
      <w:r w:rsidRPr="00512FE7">
        <w:rPr>
          <w:rFonts w:ascii="Arial" w:hAnsi="Arial" w:cs="Arial"/>
        </w:rPr>
        <w:fldChar w:fldCharType="begin"/>
      </w:r>
      <w:r w:rsidRPr="00512FE7">
        <w:rPr>
          <w:rFonts w:ascii="Arial" w:hAnsi="Arial" w:cs="Arial"/>
        </w:rPr>
        <w:instrText xml:space="preserve"> SEQ Σχήμα \* ARABIC </w:instrText>
      </w:r>
      <w:r w:rsidRPr="00512FE7">
        <w:rPr>
          <w:rFonts w:ascii="Arial" w:hAnsi="Arial" w:cs="Arial"/>
        </w:rPr>
        <w:fldChar w:fldCharType="separate"/>
      </w:r>
      <w:r w:rsidR="009302EF">
        <w:rPr>
          <w:rFonts w:ascii="Arial" w:hAnsi="Arial" w:cs="Arial"/>
          <w:noProof/>
        </w:rPr>
        <w:t>2</w:t>
      </w:r>
      <w:r w:rsidRPr="00512FE7">
        <w:rPr>
          <w:rFonts w:ascii="Arial" w:hAnsi="Arial" w:cs="Arial"/>
        </w:rPr>
        <w:fldChar w:fldCharType="end"/>
      </w:r>
      <w:r w:rsidRPr="00512FE7">
        <w:rPr>
          <w:rFonts w:ascii="Arial" w:hAnsi="Arial" w:cs="Arial"/>
        </w:rPr>
        <w:t>: Παράγοντες επίδρασης τιμών</w:t>
      </w:r>
    </w:p>
    <w:p w14:paraId="4B2D464E" w14:textId="094EA255" w:rsidR="001A268F" w:rsidRDefault="001A268F" w:rsidP="001A268F">
      <w:pPr>
        <w:rPr>
          <w:lang w:val="el-GR"/>
        </w:rPr>
      </w:pPr>
      <w:r w:rsidRPr="001A268F">
        <w:drawing>
          <wp:inline distT="0" distB="0" distL="0" distR="0" wp14:anchorId="06FBE36E" wp14:editId="4111BA81">
            <wp:extent cx="5732145" cy="4030980"/>
            <wp:effectExtent l="0" t="0" r="0" b="0"/>
            <wp:docPr id="11" name="Chart 11">
              <a:extLst xmlns:a="http://schemas.openxmlformats.org/drawingml/2006/main">
                <a:ext uri="{FF2B5EF4-FFF2-40B4-BE49-F238E27FC236}">
                  <a16:creationId xmlns:a16="http://schemas.microsoft.com/office/drawing/2014/main" id="{71303FFD-C3DD-499D-AD9E-4E9624D5BA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52DAB1" w14:textId="57122C3B" w:rsidR="00EE2CF5" w:rsidRDefault="00512FE7" w:rsidP="00512FE7">
      <w:pPr>
        <w:jc w:val="both"/>
        <w:rPr>
          <w:rFonts w:ascii="Arial" w:hAnsi="Arial" w:cs="Arial"/>
          <w:lang w:val="el-GR"/>
        </w:rPr>
      </w:pPr>
      <w:r>
        <w:rPr>
          <w:rFonts w:ascii="Arial" w:hAnsi="Arial" w:cs="Arial"/>
          <w:lang w:val="el-GR"/>
        </w:rPr>
        <w:t>Σίγουρα τον κύριο ρόλο σε αυτή την εξέλιξη έχει παίξει η αύξηση του κόστους, οι ανατιμήσεις και η προσπάθεια συγκράτησης των τιμών. Στο σχήμα 2 καταγράφονται οι παράγοντες που επηρεάζουν αυξητικά τις τιμές το 2022. Σύμφωνα με τα στελέχη του κλάδου το κόστος ενέργειας είναι ο σημαντικότερος παράγοντας με το 100% των ερωτώμενων να αναγνωρίζουν</w:t>
      </w:r>
      <w:r w:rsidR="00EE2CF5">
        <w:rPr>
          <w:rFonts w:ascii="Arial" w:hAnsi="Arial" w:cs="Arial"/>
          <w:lang w:val="el-GR"/>
        </w:rPr>
        <w:t xml:space="preserve"> αυτό το κόστος ότι επηρεάζει πολύ (15%) ή πάρα πολύ (85%) αυξητικά τις τιμές. Αντίστοιχα μεγάλη σημασία δίνεται στις διεθνείς τιμές πρώτων υλών με 98% (71% πάρα πολύ και 27% πολύ) και στα κόστη μεταφορών με 97% (61% πάρα πολύ και 36% πολύ) που σχετίζονται με τα καύσιμα. Για το σύνολο των ερωτώμενων ο πόλεμος στην Ουκρανία επιδρά αυξητικά στις τιμές των προϊόντων, 12% λίγο, 41% πολύ και 47% πάρα πολύ.</w:t>
      </w:r>
      <w:r w:rsidR="00E15F90">
        <w:rPr>
          <w:rFonts w:ascii="Arial" w:hAnsi="Arial" w:cs="Arial"/>
          <w:lang w:val="el-GR"/>
        </w:rPr>
        <w:t xml:space="preserve"> Οι υπόλοιπο παράγοντες που καταγράφονται στη μελέτη επιδρούν και αυτοί αυξητικά στις τιμές σύμφωνα με τα στελέχη της αγοράς, αλλά με μικρότερη ένταση από τους προαναφερθέντες παράγοντες. Οι παράγοντες αυτοί κατά σειρά σημαντικότητας είναι οι έμμεσοι φόροι, το εργασιακό κόστος, η νομισματική πολιτική της Ευρωπαϊκής Ένωσης, τα κόστη της πανδημίας και το κόστος δανεισμού.</w:t>
      </w:r>
    </w:p>
    <w:p w14:paraId="3A371C8F" w14:textId="70ADF82B" w:rsidR="001A268F" w:rsidRPr="006842F6" w:rsidRDefault="006842F6" w:rsidP="006842F6">
      <w:pPr>
        <w:jc w:val="both"/>
        <w:rPr>
          <w:rFonts w:ascii="Arial" w:hAnsi="Arial" w:cs="Arial"/>
          <w:lang w:val="el-GR"/>
        </w:rPr>
      </w:pPr>
      <w:r>
        <w:rPr>
          <w:rFonts w:ascii="Arial" w:hAnsi="Arial" w:cs="Arial"/>
          <w:lang w:val="el-GR"/>
        </w:rPr>
        <w:lastRenderedPageBreak/>
        <w:t>Τα στοιχεία αυτά δείχνουν την μεγάλη ένταση των πληθωριστικών πιέσεων και την πολυπλοκότητα αντιμετώπισης του φαινομένου, λόγω των πολλών αρνητικών παραγόντων που επιδρούν στις τιμές. Παρόλα αυτά η πλειοψηφία των επιχειρήσεων του κλάδου του λιανεμπορίου τροφίμων και της βιομηχανίας τροφίμων έχει απορροφήσει μέρος των ανατιμήσεων. Συγκεκριμένα όπως καταγράφεται στο σχήμα 3, 9 στις 10 επιχειρήσεις έχουν απορροφήσει έστω ένα μέρος από τις ανατιμήσεις που έχουν λάβει από τους προμηθευτές τους και δεν τις έχουν μεταφέρει στους πελάτες τους. Το ποσοστό της αύξησης που έχει απορροφηθεί μεσοσταθμικά είναι 25%, δηλαδή το ¼ της αύξησης. Το 26% έχει απορροφήσει έως 10%, το 26% έχει απορροφήσει 10-25%, το 27% έχει απορροφήσει 25-50% και το 20% πάνω από 50%. Βέβαια το κατά πόσο αυτό μπορεί να συνεχιστεί αποτελεί ένα μεγάλο ερώτημα με βάση τα στοιχεία του σχήματος 1 για την κερδοφορία των επιχειρήσεων, καθώς όσο δεν εμφανίζεται αποκλιμάκωση των τιμών, η απορρόφηση των ανατιμήσεων θα αποτελεί μη βιώσιμη λύση για τις εταιρείες.</w:t>
      </w:r>
    </w:p>
    <w:p w14:paraId="15B478AC" w14:textId="1F561863" w:rsidR="00E15F90" w:rsidRPr="00E15F90" w:rsidRDefault="00E15F90" w:rsidP="00E15F90">
      <w:pPr>
        <w:pStyle w:val="Caption"/>
        <w:rPr>
          <w:rFonts w:ascii="Arial" w:hAnsi="Arial" w:cs="Arial"/>
        </w:rPr>
      </w:pPr>
      <w:r w:rsidRPr="00E15F90">
        <w:rPr>
          <w:rFonts w:ascii="Arial" w:hAnsi="Arial" w:cs="Arial"/>
        </w:rPr>
        <w:t xml:space="preserve">Σχήμα </w:t>
      </w:r>
      <w:r w:rsidRPr="00E15F90">
        <w:rPr>
          <w:rFonts w:ascii="Arial" w:hAnsi="Arial" w:cs="Arial"/>
        </w:rPr>
        <w:fldChar w:fldCharType="begin"/>
      </w:r>
      <w:r w:rsidRPr="00E15F90">
        <w:rPr>
          <w:rFonts w:ascii="Arial" w:hAnsi="Arial" w:cs="Arial"/>
        </w:rPr>
        <w:instrText xml:space="preserve"> SEQ Σχήμα \* ARABIC </w:instrText>
      </w:r>
      <w:r w:rsidRPr="00E15F90">
        <w:rPr>
          <w:rFonts w:ascii="Arial" w:hAnsi="Arial" w:cs="Arial"/>
        </w:rPr>
        <w:fldChar w:fldCharType="separate"/>
      </w:r>
      <w:r w:rsidR="009302EF">
        <w:rPr>
          <w:rFonts w:ascii="Arial" w:hAnsi="Arial" w:cs="Arial"/>
          <w:noProof/>
        </w:rPr>
        <w:t>3</w:t>
      </w:r>
      <w:r w:rsidRPr="00E15F90">
        <w:rPr>
          <w:rFonts w:ascii="Arial" w:hAnsi="Arial" w:cs="Arial"/>
        </w:rPr>
        <w:fldChar w:fldCharType="end"/>
      </w:r>
      <w:r w:rsidR="006842F6">
        <w:rPr>
          <w:rFonts w:ascii="Arial" w:hAnsi="Arial" w:cs="Arial"/>
        </w:rPr>
        <w:t>: Απορρόφηση των ανατιμήσεων</w:t>
      </w:r>
    </w:p>
    <w:p w14:paraId="02677706" w14:textId="5077C9D0" w:rsidR="001A268F" w:rsidRDefault="001A268F" w:rsidP="00E15F90">
      <w:pPr>
        <w:ind w:left="-720" w:right="-720"/>
        <w:rPr>
          <w:lang w:val="el-GR"/>
        </w:rPr>
      </w:pPr>
      <w:r w:rsidRPr="001A268F">
        <w:drawing>
          <wp:inline distT="0" distB="0" distL="0" distR="0" wp14:anchorId="5509D1CE" wp14:editId="5DC13DE1">
            <wp:extent cx="3299460" cy="298704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1A268F">
        <w:drawing>
          <wp:inline distT="0" distB="0" distL="0" distR="0" wp14:anchorId="38A8E0DB" wp14:editId="2301C8AA">
            <wp:extent cx="3291840" cy="298704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D5D441D" w14:textId="098DE741" w:rsidR="003B0910" w:rsidRPr="003B0910" w:rsidRDefault="003B0910" w:rsidP="003B0910">
      <w:pPr>
        <w:pStyle w:val="Caption"/>
        <w:rPr>
          <w:rFonts w:ascii="Arial" w:hAnsi="Arial" w:cs="Arial"/>
        </w:rPr>
      </w:pPr>
      <w:r w:rsidRPr="003B0910">
        <w:rPr>
          <w:rFonts w:ascii="Arial" w:hAnsi="Arial" w:cs="Arial"/>
        </w:rPr>
        <w:t xml:space="preserve">Σχήμα </w:t>
      </w:r>
      <w:r w:rsidRPr="003B0910">
        <w:rPr>
          <w:rFonts w:ascii="Arial" w:hAnsi="Arial" w:cs="Arial"/>
        </w:rPr>
        <w:fldChar w:fldCharType="begin"/>
      </w:r>
      <w:r w:rsidRPr="003B0910">
        <w:rPr>
          <w:rFonts w:ascii="Arial" w:hAnsi="Arial" w:cs="Arial"/>
        </w:rPr>
        <w:instrText xml:space="preserve"> SEQ Σχήμα \* ARABIC </w:instrText>
      </w:r>
      <w:r w:rsidRPr="003B0910">
        <w:rPr>
          <w:rFonts w:ascii="Arial" w:hAnsi="Arial" w:cs="Arial"/>
        </w:rPr>
        <w:fldChar w:fldCharType="separate"/>
      </w:r>
      <w:r w:rsidR="009302EF">
        <w:rPr>
          <w:rFonts w:ascii="Arial" w:hAnsi="Arial" w:cs="Arial"/>
          <w:noProof/>
        </w:rPr>
        <w:t>4</w:t>
      </w:r>
      <w:r w:rsidRPr="003B0910">
        <w:rPr>
          <w:rFonts w:ascii="Arial" w:hAnsi="Arial" w:cs="Arial"/>
        </w:rPr>
        <w:fldChar w:fldCharType="end"/>
      </w:r>
      <w:r w:rsidRPr="003B0910">
        <w:rPr>
          <w:rFonts w:ascii="Arial" w:hAnsi="Arial" w:cs="Arial"/>
        </w:rPr>
        <w:t>: Επίδραση πανδημίας και πολέμου στην Ουκρανία στην αγορά</w:t>
      </w:r>
    </w:p>
    <w:p w14:paraId="0DF2EDC7" w14:textId="65E4B046" w:rsidR="003B0910" w:rsidRDefault="003B0910" w:rsidP="001A268F">
      <w:pPr>
        <w:rPr>
          <w:lang w:val="el-GR"/>
        </w:rPr>
      </w:pPr>
      <w:r w:rsidRPr="003B0910">
        <w:drawing>
          <wp:inline distT="0" distB="0" distL="0" distR="0" wp14:anchorId="114B5F66" wp14:editId="2ACBB2ED">
            <wp:extent cx="5471160" cy="2647950"/>
            <wp:effectExtent l="0" t="0" r="0" b="0"/>
            <wp:docPr id="15" name="Chart 15">
              <a:extLst xmlns:a="http://schemas.openxmlformats.org/drawingml/2006/main">
                <a:ext uri="{FF2B5EF4-FFF2-40B4-BE49-F238E27FC236}">
                  <a16:creationId xmlns:a16="http://schemas.microsoft.com/office/drawing/2014/main" id="{3C9994E9-D2F6-4635-9E59-E04F62D230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3EB9F01" w14:textId="24A6914C" w:rsidR="003B0910" w:rsidRDefault="003B0910" w:rsidP="003B0910">
      <w:pPr>
        <w:jc w:val="both"/>
        <w:rPr>
          <w:rFonts w:ascii="Arial" w:hAnsi="Arial" w:cs="Arial"/>
          <w:lang w:val="el-GR"/>
        </w:rPr>
      </w:pPr>
      <w:r w:rsidRPr="003B0910">
        <w:rPr>
          <w:rFonts w:ascii="Arial" w:hAnsi="Arial" w:cs="Arial"/>
          <w:lang w:val="el-GR"/>
        </w:rPr>
        <w:lastRenderedPageBreak/>
        <w:t xml:space="preserve">Όπως </w:t>
      </w:r>
      <w:r>
        <w:rPr>
          <w:rFonts w:ascii="Arial" w:hAnsi="Arial" w:cs="Arial"/>
          <w:lang w:val="el-GR"/>
        </w:rPr>
        <w:t>φαίνεται στο σχήμα 4, η επίδραση του πολέμου στην Ουκρανία για τις επιχειρήσεις είναι αρκετά εντονότερη της επίδρασης της πανδημίας. Η επίδραση της πανδημίας ήταν μεν πολύ σημαντική, αλλά ποτέ δεν ξεπέρασε σε ένταση το 5 στα 10 κατά μέσο όρο, ο πόλεμος στην Ουκρανία άμεσα κατέγραψε ένταση αρνητικών επιπτώσεων 6,28 στα 10, σχεδόν 50% πιο αρνητικές επιπτώσεις από την πανδημία.</w:t>
      </w:r>
    </w:p>
    <w:p w14:paraId="2520DFA9" w14:textId="7FAF10BF" w:rsidR="00B63D94" w:rsidRPr="00866DB9" w:rsidRDefault="00B63D94" w:rsidP="003B0910">
      <w:pPr>
        <w:jc w:val="both"/>
        <w:rPr>
          <w:rFonts w:ascii="Arial" w:hAnsi="Arial" w:cs="Arial"/>
          <w:lang w:val="el-GR"/>
        </w:rPr>
      </w:pPr>
      <w:r>
        <w:rPr>
          <w:rFonts w:ascii="Arial" w:hAnsi="Arial" w:cs="Arial"/>
          <w:lang w:val="el-GR"/>
        </w:rPr>
        <w:t>Τα συγκεκριμένα αποτελέσματα</w:t>
      </w:r>
      <w:r w:rsidR="00866DB9">
        <w:rPr>
          <w:rFonts w:ascii="Arial" w:hAnsi="Arial" w:cs="Arial"/>
          <w:lang w:val="el-GR"/>
        </w:rPr>
        <w:t xml:space="preserve"> των απόψεων των στελεχών</w:t>
      </w:r>
      <w:r>
        <w:rPr>
          <w:rFonts w:ascii="Arial" w:hAnsi="Arial" w:cs="Arial"/>
          <w:lang w:val="el-GR"/>
        </w:rPr>
        <w:t xml:space="preserve"> απεικονίζουν ένα αρνητικό </w:t>
      </w:r>
      <w:r w:rsidR="00866DB9">
        <w:rPr>
          <w:rFonts w:ascii="Arial" w:hAnsi="Arial" w:cs="Arial"/>
          <w:lang w:val="el-GR"/>
        </w:rPr>
        <w:t xml:space="preserve">και ιδιαίτερα απαιτητικό επιχειρηματικό </w:t>
      </w:r>
      <w:r>
        <w:rPr>
          <w:rFonts w:ascii="Arial" w:hAnsi="Arial" w:cs="Arial"/>
          <w:lang w:val="el-GR"/>
        </w:rPr>
        <w:t xml:space="preserve">περιβάλλον για τις επιχειρήσεις του κλάδου των τροφίμων </w:t>
      </w:r>
      <w:r w:rsidR="00866DB9">
        <w:rPr>
          <w:rFonts w:ascii="Arial" w:hAnsi="Arial" w:cs="Arial"/>
          <w:lang w:val="el-GR"/>
        </w:rPr>
        <w:t xml:space="preserve">(βιομηχανία και λιανεμπόριο) </w:t>
      </w:r>
      <w:r>
        <w:rPr>
          <w:rFonts w:ascii="Arial" w:hAnsi="Arial" w:cs="Arial"/>
          <w:lang w:val="el-GR"/>
        </w:rPr>
        <w:t>και μία κατάσταση η οποία είναι δύσκολο να αναστραφεί άμεσα.</w:t>
      </w:r>
    </w:p>
    <w:p w14:paraId="62B8D732" w14:textId="77777777" w:rsidR="001A268F" w:rsidRPr="001A268F" w:rsidRDefault="001A268F" w:rsidP="001A268F">
      <w:pPr>
        <w:rPr>
          <w:lang w:val="el-GR"/>
        </w:rPr>
      </w:pPr>
    </w:p>
    <w:p w14:paraId="45219DD0" w14:textId="77777777" w:rsidR="007C4C1A" w:rsidRPr="007C4C1A" w:rsidRDefault="007C4C1A" w:rsidP="007C4C1A">
      <w:pPr>
        <w:pBdr>
          <w:top w:val="single" w:sz="4" w:space="1" w:color="auto"/>
        </w:pBdr>
        <w:rPr>
          <w:rFonts w:ascii="Arial" w:hAnsi="Arial" w:cs="Arial"/>
          <w:b/>
          <w:lang w:val="el-GR"/>
        </w:rPr>
      </w:pPr>
      <w:r w:rsidRPr="007C4C1A">
        <w:rPr>
          <w:rFonts w:ascii="Arial" w:hAnsi="Arial" w:cs="Arial"/>
          <w:b/>
          <w:lang w:val="el-GR"/>
        </w:rPr>
        <w:t>Για περισσότερες πληροφορίες:</w:t>
      </w:r>
    </w:p>
    <w:p w14:paraId="35B0008A" w14:textId="77777777" w:rsidR="007C4C1A" w:rsidRPr="007C4C1A" w:rsidRDefault="007C4C1A" w:rsidP="007C4C1A">
      <w:pPr>
        <w:spacing w:after="0"/>
        <w:rPr>
          <w:rFonts w:ascii="Arial" w:hAnsi="Arial" w:cs="Arial"/>
          <w:sz w:val="18"/>
          <w:lang w:val="el-GR"/>
        </w:rPr>
      </w:pPr>
      <w:r w:rsidRPr="007C4C1A">
        <w:rPr>
          <w:rFonts w:ascii="Arial" w:hAnsi="Arial" w:cs="Arial"/>
          <w:sz w:val="18"/>
          <w:lang w:val="el-GR"/>
        </w:rPr>
        <w:t>Δρ. Λευτέρης Κιοσές</w:t>
      </w:r>
    </w:p>
    <w:p w14:paraId="3C118F04" w14:textId="77777777" w:rsidR="007C4C1A" w:rsidRPr="007C4C1A" w:rsidRDefault="007C4C1A" w:rsidP="007C4C1A">
      <w:pPr>
        <w:spacing w:after="0"/>
        <w:rPr>
          <w:rFonts w:ascii="Arial" w:hAnsi="Arial" w:cs="Arial"/>
          <w:sz w:val="18"/>
          <w:lang w:val="el-GR"/>
        </w:rPr>
      </w:pPr>
      <w:r w:rsidRPr="007C4C1A">
        <w:rPr>
          <w:rFonts w:ascii="Arial" w:hAnsi="Arial" w:cs="Arial"/>
          <w:sz w:val="18"/>
          <w:lang w:val="el-GR"/>
        </w:rPr>
        <w:t>Υπεύθυνος Ερευνών</w:t>
      </w:r>
    </w:p>
    <w:p w14:paraId="08A860FA" w14:textId="77777777" w:rsidR="007C4C1A" w:rsidRPr="007C4C1A" w:rsidRDefault="007C4C1A" w:rsidP="007C4C1A">
      <w:pPr>
        <w:spacing w:after="0"/>
        <w:rPr>
          <w:rFonts w:ascii="Arial" w:hAnsi="Arial" w:cs="Arial"/>
          <w:sz w:val="18"/>
          <w:lang w:val="el-GR"/>
        </w:rPr>
      </w:pPr>
      <w:r w:rsidRPr="007C4C1A">
        <w:rPr>
          <w:rFonts w:ascii="Arial" w:hAnsi="Arial" w:cs="Arial"/>
          <w:sz w:val="18"/>
          <w:lang w:val="el-GR"/>
        </w:rPr>
        <w:t>ΙΕΛΚΑ (Ινστιτούτο Έρευνας Λιανεμπορίου Καταναλωτικών Αγαθών)</w:t>
      </w:r>
    </w:p>
    <w:p w14:paraId="3E9D061A" w14:textId="77777777" w:rsidR="007C4C1A" w:rsidRPr="007C4C1A" w:rsidRDefault="007C4C1A" w:rsidP="007C4C1A">
      <w:pPr>
        <w:spacing w:after="0"/>
        <w:rPr>
          <w:rFonts w:ascii="Arial" w:hAnsi="Arial" w:cs="Arial"/>
          <w:sz w:val="18"/>
          <w:lang w:val="el-GR"/>
        </w:rPr>
      </w:pPr>
      <w:r w:rsidRPr="007C4C1A">
        <w:rPr>
          <w:rFonts w:ascii="Arial" w:hAnsi="Arial" w:cs="Arial"/>
          <w:sz w:val="18"/>
          <w:lang w:val="el-GR"/>
        </w:rPr>
        <w:t>Λ. Κηφισίας 62, Μαρούσι, 15125</w:t>
      </w:r>
    </w:p>
    <w:p w14:paraId="7B0894AA" w14:textId="0983BD47" w:rsidR="00257830" w:rsidRPr="00682749" w:rsidRDefault="007C4C1A" w:rsidP="00682749">
      <w:pPr>
        <w:spacing w:after="0"/>
        <w:rPr>
          <w:rFonts w:ascii="Arial" w:hAnsi="Arial" w:cs="Arial"/>
          <w:sz w:val="16"/>
          <w:lang w:val="el-GR"/>
        </w:rPr>
      </w:pPr>
      <w:r w:rsidRPr="007C4C1A">
        <w:rPr>
          <w:rFonts w:ascii="Arial" w:hAnsi="Arial" w:cs="Arial"/>
          <w:sz w:val="18"/>
          <w:lang w:val="el-GR"/>
        </w:rPr>
        <w:t xml:space="preserve">Τηλ. 212 1019954, Κιν. 6948538456, </w:t>
      </w:r>
      <w:r w:rsidRPr="007C4C1A">
        <w:rPr>
          <w:rFonts w:ascii="Arial" w:hAnsi="Arial" w:cs="Arial"/>
          <w:sz w:val="18"/>
        </w:rPr>
        <w:t>e</w:t>
      </w:r>
      <w:r w:rsidRPr="007C4C1A">
        <w:rPr>
          <w:rFonts w:ascii="Arial" w:hAnsi="Arial" w:cs="Arial"/>
          <w:sz w:val="18"/>
          <w:lang w:val="el-GR"/>
        </w:rPr>
        <w:t>-</w:t>
      </w:r>
      <w:r w:rsidRPr="007C4C1A">
        <w:rPr>
          <w:rFonts w:ascii="Arial" w:hAnsi="Arial" w:cs="Arial"/>
          <w:sz w:val="18"/>
        </w:rPr>
        <w:t>mail</w:t>
      </w:r>
      <w:r w:rsidRPr="007C4C1A">
        <w:rPr>
          <w:rFonts w:ascii="Arial" w:hAnsi="Arial" w:cs="Arial"/>
          <w:sz w:val="18"/>
          <w:lang w:val="el-GR"/>
        </w:rPr>
        <w:t xml:space="preserve">: </w:t>
      </w:r>
      <w:r w:rsidRPr="007C4C1A">
        <w:rPr>
          <w:rFonts w:ascii="Arial" w:hAnsi="Arial" w:cs="Arial"/>
          <w:sz w:val="18"/>
        </w:rPr>
        <w:t>info</w:t>
      </w:r>
      <w:r w:rsidRPr="007C4C1A">
        <w:rPr>
          <w:rFonts w:ascii="Arial" w:hAnsi="Arial" w:cs="Arial"/>
          <w:sz w:val="18"/>
          <w:lang w:val="el-GR"/>
        </w:rPr>
        <w:t>@</w:t>
      </w:r>
      <w:r w:rsidRPr="007C4C1A">
        <w:rPr>
          <w:rFonts w:ascii="Arial" w:hAnsi="Arial" w:cs="Arial"/>
          <w:sz w:val="18"/>
        </w:rPr>
        <w:t>ielka</w:t>
      </w:r>
      <w:r w:rsidRPr="007C4C1A">
        <w:rPr>
          <w:rFonts w:ascii="Arial" w:hAnsi="Arial" w:cs="Arial"/>
          <w:sz w:val="18"/>
          <w:lang w:val="el-GR"/>
        </w:rPr>
        <w:t>.</w:t>
      </w:r>
      <w:r w:rsidRPr="007C4C1A">
        <w:rPr>
          <w:rFonts w:ascii="Arial" w:hAnsi="Arial" w:cs="Arial"/>
          <w:sz w:val="18"/>
        </w:rPr>
        <w:t>gr</w:t>
      </w:r>
      <w:r w:rsidRPr="007C4C1A">
        <w:rPr>
          <w:rFonts w:ascii="Arial" w:hAnsi="Arial" w:cs="Arial"/>
          <w:sz w:val="18"/>
          <w:lang w:val="el-GR"/>
        </w:rPr>
        <w:t xml:space="preserve">, </w:t>
      </w:r>
      <w:r w:rsidRPr="007C4C1A">
        <w:rPr>
          <w:rFonts w:ascii="Arial" w:hAnsi="Arial" w:cs="Arial"/>
          <w:sz w:val="18"/>
        </w:rPr>
        <w:t>www</w:t>
      </w:r>
      <w:r w:rsidRPr="007C4C1A">
        <w:rPr>
          <w:rFonts w:ascii="Arial" w:hAnsi="Arial" w:cs="Arial"/>
          <w:sz w:val="18"/>
          <w:lang w:val="el-GR"/>
        </w:rPr>
        <w:t>.</w:t>
      </w:r>
      <w:r w:rsidRPr="007C4C1A">
        <w:rPr>
          <w:rFonts w:ascii="Arial" w:hAnsi="Arial" w:cs="Arial"/>
          <w:sz w:val="18"/>
        </w:rPr>
        <w:t>ielka</w:t>
      </w:r>
      <w:r w:rsidRPr="007C4C1A">
        <w:rPr>
          <w:rFonts w:ascii="Arial" w:hAnsi="Arial" w:cs="Arial"/>
          <w:sz w:val="18"/>
          <w:lang w:val="el-GR"/>
        </w:rPr>
        <w:t>.</w:t>
      </w:r>
      <w:r w:rsidRPr="007C4C1A">
        <w:rPr>
          <w:rFonts w:ascii="Arial" w:hAnsi="Arial" w:cs="Arial"/>
          <w:sz w:val="18"/>
        </w:rPr>
        <w:t>gr</w:t>
      </w:r>
    </w:p>
    <w:sectPr w:rsidR="00257830" w:rsidRPr="00682749" w:rsidSect="00B11AC2">
      <w:footerReference w:type="default" r:id="rId15"/>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B98BD" w14:textId="77777777" w:rsidR="005A55B7" w:rsidRDefault="005A55B7" w:rsidP="00A178F2">
      <w:pPr>
        <w:spacing w:after="0" w:line="240" w:lineRule="auto"/>
      </w:pPr>
      <w:r>
        <w:separator/>
      </w:r>
    </w:p>
  </w:endnote>
  <w:endnote w:type="continuationSeparator" w:id="0">
    <w:p w14:paraId="72C2AA44" w14:textId="77777777" w:rsidR="005A55B7" w:rsidRDefault="005A55B7" w:rsidP="00A17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CDF5F" w14:textId="77777777" w:rsidR="00141CF4" w:rsidRPr="00CD2F3C" w:rsidRDefault="00141CF4" w:rsidP="00CD2F3C">
    <w:pPr>
      <w:pStyle w:val="Footer"/>
      <w:jc w:val="center"/>
      <w:rPr>
        <w:lang w:val="el-GR"/>
      </w:rPr>
    </w:pPr>
    <w:r>
      <w:rPr>
        <w:lang w:val="el-GR"/>
      </w:rPr>
      <w:t>-</w:t>
    </w:r>
    <w:r w:rsidR="00F723E7">
      <w:fldChar w:fldCharType="begin"/>
    </w:r>
    <w:r w:rsidR="00F723E7">
      <w:instrText xml:space="preserve"> PAGE   \* MERGEFORMAT </w:instrText>
    </w:r>
    <w:r w:rsidR="00F723E7">
      <w:fldChar w:fldCharType="separate"/>
    </w:r>
    <w:r w:rsidR="00AA0837">
      <w:rPr>
        <w:noProof/>
      </w:rPr>
      <w:t>1</w:t>
    </w:r>
    <w:r w:rsidR="00F723E7">
      <w:rPr>
        <w:noProof/>
      </w:rPr>
      <w:fldChar w:fldCharType="end"/>
    </w:r>
    <w:r>
      <w:rPr>
        <w:lang w:val="el-GR"/>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4E023" w14:textId="77777777" w:rsidR="005A55B7" w:rsidRDefault="005A55B7" w:rsidP="00A178F2">
      <w:pPr>
        <w:spacing w:after="0" w:line="240" w:lineRule="auto"/>
      </w:pPr>
      <w:r>
        <w:separator/>
      </w:r>
    </w:p>
  </w:footnote>
  <w:footnote w:type="continuationSeparator" w:id="0">
    <w:p w14:paraId="1A18ED53" w14:textId="77777777" w:rsidR="005A55B7" w:rsidRDefault="005A55B7" w:rsidP="00A178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01" type="#_x0000_t75" alt="http://upload.wikimedia.org/wikipedia/commons/thumb/5/5c/Flag_of_Greece.svg/23px-Flag_of_Greece.svg.png" style="width:17.4pt;height:11.4pt;visibility:visible" o:bullet="t">
        <v:imagedata r:id="rId1" o:title="23px-Flag_of_Greece"/>
      </v:shape>
    </w:pict>
  </w:numPicBullet>
  <w:numPicBullet w:numPicBulletId="1">
    <w:pict>
      <v:shape id="_x0000_i1802" type="#_x0000_t75" alt="http://upload.wikimedia.org/wikipedia/en/thumb/a/ae/Flag_of_the_United_Kingdom.svg/23px-Flag_of_the_United_Kingdom.svg.png" style="width:17.4pt;height:9pt;visibility:visible" o:bullet="t">
        <v:imagedata r:id="rId2" o:title="23px-Flag_of_the_United_Kingdom"/>
      </v:shape>
    </w:pict>
  </w:numPicBullet>
  <w:numPicBullet w:numPicBulletId="2">
    <w:pict>
      <v:shape id="_x0000_i1803" type="#_x0000_t75" alt="http://upload.wikimedia.org/wikipedia/en/thumb/9/9a/Flag_of_Spain.svg/23px-Flag_of_Spain.svg.png" style="width:17.4pt;height:11.4pt;visibility:visible" o:bullet="t">
        <v:imagedata r:id="rId3" o:title="23px-Flag_of_Spain"/>
      </v:shape>
    </w:pict>
  </w:numPicBullet>
  <w:numPicBullet w:numPicBulletId="3">
    <w:pict>
      <v:shape id="_x0000_i1804" type="#_x0000_t75" alt="http://upload.wikimedia.org/wikipedia/en/thumb/c/c3/Flag_of_France.svg/23px-Flag_of_France.svg.png" style="width:17.4pt;height:11.4pt;visibility:visible" o:bullet="t">
        <v:imagedata r:id="rId4" o:title="23px-Flag_of_France"/>
      </v:shape>
    </w:pict>
  </w:numPicBullet>
  <w:numPicBullet w:numPicBulletId="4">
    <w:pict>
      <v:shape id="_x0000_i1805" type="#_x0000_t75" alt="http://upload.wikimedia.org/wikipedia/commons/thumb/9/92/Flag_of_Belgium_%28civil%29.svg/23px-Flag_of_Belgium_%28civil%29.svg.png" style="width:17.4pt;height:11.4pt;visibility:visible" o:bullet="t">
        <v:imagedata r:id="rId5" o:title="23px-Flag_of_Belgium_%28civil%29"/>
      </v:shape>
    </w:pict>
  </w:numPicBullet>
  <w:abstractNum w:abstractNumId="0" w15:restartNumberingAfterBreak="0">
    <w:nsid w:val="059849D2"/>
    <w:multiLevelType w:val="hybridMultilevel"/>
    <w:tmpl w:val="89D2D80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A894B44"/>
    <w:multiLevelType w:val="hybridMultilevel"/>
    <w:tmpl w:val="53B0F27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0C263074"/>
    <w:multiLevelType w:val="hybridMultilevel"/>
    <w:tmpl w:val="F0FE0B5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22246EF"/>
    <w:multiLevelType w:val="hybridMultilevel"/>
    <w:tmpl w:val="F96C266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3B77B67"/>
    <w:multiLevelType w:val="hybridMultilevel"/>
    <w:tmpl w:val="DA7C83B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1CD71CFC"/>
    <w:multiLevelType w:val="hybridMultilevel"/>
    <w:tmpl w:val="73340532"/>
    <w:lvl w:ilvl="0" w:tplc="4E86F290">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1D6A272C"/>
    <w:multiLevelType w:val="hybridMultilevel"/>
    <w:tmpl w:val="E9006C4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25D645F9"/>
    <w:multiLevelType w:val="hybridMultilevel"/>
    <w:tmpl w:val="B524D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DC6D63"/>
    <w:multiLevelType w:val="hybridMultilevel"/>
    <w:tmpl w:val="9E103EE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273E3EE9"/>
    <w:multiLevelType w:val="hybridMultilevel"/>
    <w:tmpl w:val="8494935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288522C7"/>
    <w:multiLevelType w:val="hybridMultilevel"/>
    <w:tmpl w:val="B902100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2E3C7E07"/>
    <w:multiLevelType w:val="hybridMultilevel"/>
    <w:tmpl w:val="3916918C"/>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2" w15:restartNumberingAfterBreak="0">
    <w:nsid w:val="40874287"/>
    <w:multiLevelType w:val="hybridMultilevel"/>
    <w:tmpl w:val="87E0256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437C3415"/>
    <w:multiLevelType w:val="hybridMultilevel"/>
    <w:tmpl w:val="ABFC621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465D2C0D"/>
    <w:multiLevelType w:val="hybridMultilevel"/>
    <w:tmpl w:val="A57650C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4B5B1DD6"/>
    <w:multiLevelType w:val="hybridMultilevel"/>
    <w:tmpl w:val="4058FC18"/>
    <w:lvl w:ilvl="0" w:tplc="B1385B16">
      <w:start w:val="1"/>
      <w:numFmt w:val="decimal"/>
      <w:pStyle w:val="Heading1"/>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509361E0"/>
    <w:multiLevelType w:val="hybridMultilevel"/>
    <w:tmpl w:val="2ECCA19A"/>
    <w:lvl w:ilvl="0" w:tplc="4E86F290">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7" w15:restartNumberingAfterBreak="0">
    <w:nsid w:val="61AF3F34"/>
    <w:multiLevelType w:val="hybridMultilevel"/>
    <w:tmpl w:val="C06C8756"/>
    <w:lvl w:ilvl="0" w:tplc="0408000F">
      <w:start w:val="1"/>
      <w:numFmt w:val="decimal"/>
      <w:lvlText w:val="%1."/>
      <w:lvlJc w:val="left"/>
      <w:pPr>
        <w:ind w:left="1429" w:hanging="360"/>
      </w:pPr>
    </w:lvl>
    <w:lvl w:ilvl="1" w:tplc="04080019" w:tentative="1">
      <w:start w:val="1"/>
      <w:numFmt w:val="lowerLetter"/>
      <w:lvlText w:val="%2."/>
      <w:lvlJc w:val="left"/>
      <w:pPr>
        <w:ind w:left="2149" w:hanging="360"/>
      </w:pPr>
    </w:lvl>
    <w:lvl w:ilvl="2" w:tplc="0408001B" w:tentative="1">
      <w:start w:val="1"/>
      <w:numFmt w:val="lowerRoman"/>
      <w:lvlText w:val="%3."/>
      <w:lvlJc w:val="right"/>
      <w:pPr>
        <w:ind w:left="2869" w:hanging="180"/>
      </w:pPr>
    </w:lvl>
    <w:lvl w:ilvl="3" w:tplc="0408000F" w:tentative="1">
      <w:start w:val="1"/>
      <w:numFmt w:val="decimal"/>
      <w:lvlText w:val="%4."/>
      <w:lvlJc w:val="left"/>
      <w:pPr>
        <w:ind w:left="3589" w:hanging="360"/>
      </w:pPr>
    </w:lvl>
    <w:lvl w:ilvl="4" w:tplc="04080019" w:tentative="1">
      <w:start w:val="1"/>
      <w:numFmt w:val="lowerLetter"/>
      <w:lvlText w:val="%5."/>
      <w:lvlJc w:val="left"/>
      <w:pPr>
        <w:ind w:left="4309" w:hanging="360"/>
      </w:pPr>
    </w:lvl>
    <w:lvl w:ilvl="5" w:tplc="0408001B" w:tentative="1">
      <w:start w:val="1"/>
      <w:numFmt w:val="lowerRoman"/>
      <w:lvlText w:val="%6."/>
      <w:lvlJc w:val="right"/>
      <w:pPr>
        <w:ind w:left="5029" w:hanging="180"/>
      </w:pPr>
    </w:lvl>
    <w:lvl w:ilvl="6" w:tplc="0408000F" w:tentative="1">
      <w:start w:val="1"/>
      <w:numFmt w:val="decimal"/>
      <w:lvlText w:val="%7."/>
      <w:lvlJc w:val="left"/>
      <w:pPr>
        <w:ind w:left="5749" w:hanging="360"/>
      </w:pPr>
    </w:lvl>
    <w:lvl w:ilvl="7" w:tplc="04080019" w:tentative="1">
      <w:start w:val="1"/>
      <w:numFmt w:val="lowerLetter"/>
      <w:lvlText w:val="%8."/>
      <w:lvlJc w:val="left"/>
      <w:pPr>
        <w:ind w:left="6469" w:hanging="360"/>
      </w:pPr>
    </w:lvl>
    <w:lvl w:ilvl="8" w:tplc="0408001B" w:tentative="1">
      <w:start w:val="1"/>
      <w:numFmt w:val="lowerRoman"/>
      <w:lvlText w:val="%9."/>
      <w:lvlJc w:val="right"/>
      <w:pPr>
        <w:ind w:left="7189" w:hanging="180"/>
      </w:pPr>
    </w:lvl>
  </w:abstractNum>
  <w:abstractNum w:abstractNumId="18" w15:restartNumberingAfterBreak="0">
    <w:nsid w:val="62D00387"/>
    <w:multiLevelType w:val="multilevel"/>
    <w:tmpl w:val="6914A51C"/>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5F9509A"/>
    <w:multiLevelType w:val="hybridMultilevel"/>
    <w:tmpl w:val="DE32D31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6CC51CEE"/>
    <w:multiLevelType w:val="hybridMultilevel"/>
    <w:tmpl w:val="3B8CE2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713D6E9A"/>
    <w:multiLevelType w:val="hybridMultilevel"/>
    <w:tmpl w:val="BEB82AF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73AA15C9"/>
    <w:multiLevelType w:val="hybridMultilevel"/>
    <w:tmpl w:val="7208F6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7C0E08A7"/>
    <w:multiLevelType w:val="hybridMultilevel"/>
    <w:tmpl w:val="40BA6FF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451023327">
    <w:abstractNumId w:val="10"/>
  </w:num>
  <w:num w:numId="2" w16cid:durableId="839657861">
    <w:abstractNumId w:val="17"/>
  </w:num>
  <w:num w:numId="3" w16cid:durableId="2028097726">
    <w:abstractNumId w:val="18"/>
  </w:num>
  <w:num w:numId="4" w16cid:durableId="655113819">
    <w:abstractNumId w:val="19"/>
  </w:num>
  <w:num w:numId="5" w16cid:durableId="458186162">
    <w:abstractNumId w:val="7"/>
  </w:num>
  <w:num w:numId="6" w16cid:durableId="1506506846">
    <w:abstractNumId w:val="9"/>
  </w:num>
  <w:num w:numId="7" w16cid:durableId="2134861797">
    <w:abstractNumId w:val="1"/>
  </w:num>
  <w:num w:numId="8" w16cid:durableId="1454247774">
    <w:abstractNumId w:val="3"/>
  </w:num>
  <w:num w:numId="9" w16cid:durableId="347679094">
    <w:abstractNumId w:val="8"/>
  </w:num>
  <w:num w:numId="10" w16cid:durableId="362902217">
    <w:abstractNumId w:val="4"/>
  </w:num>
  <w:num w:numId="11" w16cid:durableId="998733539">
    <w:abstractNumId w:val="15"/>
  </w:num>
  <w:num w:numId="12" w16cid:durableId="1834300559">
    <w:abstractNumId w:val="15"/>
    <w:lvlOverride w:ilvl="0">
      <w:startOverride w:val="1"/>
    </w:lvlOverride>
  </w:num>
  <w:num w:numId="13" w16cid:durableId="1047335021">
    <w:abstractNumId w:val="15"/>
    <w:lvlOverride w:ilvl="0">
      <w:startOverride w:val="1"/>
    </w:lvlOverride>
  </w:num>
  <w:num w:numId="14" w16cid:durableId="1375498863">
    <w:abstractNumId w:val="12"/>
  </w:num>
  <w:num w:numId="15" w16cid:durableId="222373571">
    <w:abstractNumId w:val="11"/>
  </w:num>
  <w:num w:numId="16" w16cid:durableId="1984236217">
    <w:abstractNumId w:val="14"/>
  </w:num>
  <w:num w:numId="17" w16cid:durableId="566837849">
    <w:abstractNumId w:val="16"/>
  </w:num>
  <w:num w:numId="18" w16cid:durableId="4939560">
    <w:abstractNumId w:val="22"/>
  </w:num>
  <w:num w:numId="19" w16cid:durableId="664089653">
    <w:abstractNumId w:val="2"/>
  </w:num>
  <w:num w:numId="20" w16cid:durableId="368725254">
    <w:abstractNumId w:val="20"/>
  </w:num>
  <w:num w:numId="21" w16cid:durableId="1579363059">
    <w:abstractNumId w:val="5"/>
  </w:num>
  <w:num w:numId="22" w16cid:durableId="566378595">
    <w:abstractNumId w:val="0"/>
  </w:num>
  <w:num w:numId="23" w16cid:durableId="1776293203">
    <w:abstractNumId w:val="23"/>
  </w:num>
  <w:num w:numId="24" w16cid:durableId="640355257">
    <w:abstractNumId w:val="13"/>
  </w:num>
  <w:num w:numId="25" w16cid:durableId="101843512">
    <w:abstractNumId w:val="6"/>
  </w:num>
  <w:num w:numId="26" w16cid:durableId="18305860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5832"/>
    <w:rsid w:val="0000193B"/>
    <w:rsid w:val="00003B13"/>
    <w:rsid w:val="000048CF"/>
    <w:rsid w:val="00005832"/>
    <w:rsid w:val="00005D77"/>
    <w:rsid w:val="00006BF0"/>
    <w:rsid w:val="00010067"/>
    <w:rsid w:val="00012A36"/>
    <w:rsid w:val="00015140"/>
    <w:rsid w:val="00015191"/>
    <w:rsid w:val="00021630"/>
    <w:rsid w:val="00031A8E"/>
    <w:rsid w:val="000342F9"/>
    <w:rsid w:val="000370D9"/>
    <w:rsid w:val="000458F6"/>
    <w:rsid w:val="00052C5F"/>
    <w:rsid w:val="00052CF3"/>
    <w:rsid w:val="00057198"/>
    <w:rsid w:val="00057552"/>
    <w:rsid w:val="00061C18"/>
    <w:rsid w:val="000621AD"/>
    <w:rsid w:val="00062381"/>
    <w:rsid w:val="0006560B"/>
    <w:rsid w:val="000672AC"/>
    <w:rsid w:val="0006767D"/>
    <w:rsid w:val="00070555"/>
    <w:rsid w:val="000736ED"/>
    <w:rsid w:val="000766CC"/>
    <w:rsid w:val="00076B4A"/>
    <w:rsid w:val="00077C16"/>
    <w:rsid w:val="000824F9"/>
    <w:rsid w:val="000835BB"/>
    <w:rsid w:val="000848D8"/>
    <w:rsid w:val="00092999"/>
    <w:rsid w:val="00094973"/>
    <w:rsid w:val="000961B3"/>
    <w:rsid w:val="00096CB3"/>
    <w:rsid w:val="000A0E40"/>
    <w:rsid w:val="000A3287"/>
    <w:rsid w:val="000A480F"/>
    <w:rsid w:val="000A584B"/>
    <w:rsid w:val="000A5E1A"/>
    <w:rsid w:val="000A762F"/>
    <w:rsid w:val="000B2DF0"/>
    <w:rsid w:val="000B2FBE"/>
    <w:rsid w:val="000B32CE"/>
    <w:rsid w:val="000C0BD7"/>
    <w:rsid w:val="000C1235"/>
    <w:rsid w:val="000C1491"/>
    <w:rsid w:val="000C2FA8"/>
    <w:rsid w:val="000D0846"/>
    <w:rsid w:val="000D2DC0"/>
    <w:rsid w:val="000D3BC5"/>
    <w:rsid w:val="000D3FCC"/>
    <w:rsid w:val="000D56EA"/>
    <w:rsid w:val="000E2028"/>
    <w:rsid w:val="000E35F3"/>
    <w:rsid w:val="000E5795"/>
    <w:rsid w:val="000F45EE"/>
    <w:rsid w:val="000F6E28"/>
    <w:rsid w:val="000F7532"/>
    <w:rsid w:val="00100D63"/>
    <w:rsid w:val="0010142E"/>
    <w:rsid w:val="00103046"/>
    <w:rsid w:val="00107748"/>
    <w:rsid w:val="00111856"/>
    <w:rsid w:val="00111DA5"/>
    <w:rsid w:val="00112AF1"/>
    <w:rsid w:val="001142D2"/>
    <w:rsid w:val="0011553B"/>
    <w:rsid w:val="00123F5C"/>
    <w:rsid w:val="00124ADE"/>
    <w:rsid w:val="00124D3F"/>
    <w:rsid w:val="00127643"/>
    <w:rsid w:val="001277C6"/>
    <w:rsid w:val="00135F93"/>
    <w:rsid w:val="00136194"/>
    <w:rsid w:val="00141CF4"/>
    <w:rsid w:val="00142CAF"/>
    <w:rsid w:val="00144406"/>
    <w:rsid w:val="001459C7"/>
    <w:rsid w:val="0014641F"/>
    <w:rsid w:val="0015073C"/>
    <w:rsid w:val="00150A6F"/>
    <w:rsid w:val="001527A2"/>
    <w:rsid w:val="00152E87"/>
    <w:rsid w:val="00154411"/>
    <w:rsid w:val="00155075"/>
    <w:rsid w:val="001623E7"/>
    <w:rsid w:val="00165D99"/>
    <w:rsid w:val="00166811"/>
    <w:rsid w:val="001705E4"/>
    <w:rsid w:val="001713ED"/>
    <w:rsid w:val="001779A5"/>
    <w:rsid w:val="00181811"/>
    <w:rsid w:val="00182B45"/>
    <w:rsid w:val="001835CA"/>
    <w:rsid w:val="00184254"/>
    <w:rsid w:val="0019003F"/>
    <w:rsid w:val="0019138A"/>
    <w:rsid w:val="00191CC8"/>
    <w:rsid w:val="001921F9"/>
    <w:rsid w:val="00194F63"/>
    <w:rsid w:val="00196882"/>
    <w:rsid w:val="00196B14"/>
    <w:rsid w:val="001A0D31"/>
    <w:rsid w:val="001A268F"/>
    <w:rsid w:val="001A2813"/>
    <w:rsid w:val="001A3042"/>
    <w:rsid w:val="001A6BB7"/>
    <w:rsid w:val="001B0D45"/>
    <w:rsid w:val="001B1700"/>
    <w:rsid w:val="001B170F"/>
    <w:rsid w:val="001B69F2"/>
    <w:rsid w:val="001C1C7B"/>
    <w:rsid w:val="001C68B0"/>
    <w:rsid w:val="001C7554"/>
    <w:rsid w:val="001D0E21"/>
    <w:rsid w:val="001D1651"/>
    <w:rsid w:val="001D196E"/>
    <w:rsid w:val="001D2083"/>
    <w:rsid w:val="001D22CD"/>
    <w:rsid w:val="001D247F"/>
    <w:rsid w:val="001D2549"/>
    <w:rsid w:val="001D452B"/>
    <w:rsid w:val="001D6A58"/>
    <w:rsid w:val="001E032E"/>
    <w:rsid w:val="001E34B0"/>
    <w:rsid w:val="001E3D9F"/>
    <w:rsid w:val="001E44BB"/>
    <w:rsid w:val="001E46DD"/>
    <w:rsid w:val="00201665"/>
    <w:rsid w:val="002023BC"/>
    <w:rsid w:val="00202604"/>
    <w:rsid w:val="00204EB5"/>
    <w:rsid w:val="00212E21"/>
    <w:rsid w:val="00221B22"/>
    <w:rsid w:val="002231A9"/>
    <w:rsid w:val="00226223"/>
    <w:rsid w:val="002316A7"/>
    <w:rsid w:val="00235DB6"/>
    <w:rsid w:val="00241790"/>
    <w:rsid w:val="0024357E"/>
    <w:rsid w:val="00246359"/>
    <w:rsid w:val="00247C9C"/>
    <w:rsid w:val="00257361"/>
    <w:rsid w:val="00257830"/>
    <w:rsid w:val="00261B90"/>
    <w:rsid w:val="00265F71"/>
    <w:rsid w:val="00270A7F"/>
    <w:rsid w:val="0027402E"/>
    <w:rsid w:val="002921C8"/>
    <w:rsid w:val="002922C8"/>
    <w:rsid w:val="0029277F"/>
    <w:rsid w:val="00293191"/>
    <w:rsid w:val="00294C24"/>
    <w:rsid w:val="00295CAD"/>
    <w:rsid w:val="002A0FE9"/>
    <w:rsid w:val="002A5EFE"/>
    <w:rsid w:val="002A6565"/>
    <w:rsid w:val="002A7351"/>
    <w:rsid w:val="002A7C58"/>
    <w:rsid w:val="002A7C89"/>
    <w:rsid w:val="002B08A0"/>
    <w:rsid w:val="002B0A18"/>
    <w:rsid w:val="002B4B33"/>
    <w:rsid w:val="002B4D97"/>
    <w:rsid w:val="002C0407"/>
    <w:rsid w:val="002C1D4B"/>
    <w:rsid w:val="002C2A16"/>
    <w:rsid w:val="002C34A5"/>
    <w:rsid w:val="002C5B31"/>
    <w:rsid w:val="002D0C80"/>
    <w:rsid w:val="002E390F"/>
    <w:rsid w:val="002E556C"/>
    <w:rsid w:val="002F1AE9"/>
    <w:rsid w:val="002F1E77"/>
    <w:rsid w:val="002F362C"/>
    <w:rsid w:val="002F40D0"/>
    <w:rsid w:val="002F5879"/>
    <w:rsid w:val="002F5DA0"/>
    <w:rsid w:val="002F625E"/>
    <w:rsid w:val="002F62CD"/>
    <w:rsid w:val="003021C5"/>
    <w:rsid w:val="00304957"/>
    <w:rsid w:val="003053F3"/>
    <w:rsid w:val="00305CEF"/>
    <w:rsid w:val="0030783F"/>
    <w:rsid w:val="00316E33"/>
    <w:rsid w:val="0031777F"/>
    <w:rsid w:val="00322F70"/>
    <w:rsid w:val="003230D9"/>
    <w:rsid w:val="003239FC"/>
    <w:rsid w:val="00324983"/>
    <w:rsid w:val="00325532"/>
    <w:rsid w:val="00326435"/>
    <w:rsid w:val="00330B7B"/>
    <w:rsid w:val="00332680"/>
    <w:rsid w:val="0033421C"/>
    <w:rsid w:val="003352B2"/>
    <w:rsid w:val="0033626A"/>
    <w:rsid w:val="003374F5"/>
    <w:rsid w:val="003417BE"/>
    <w:rsid w:val="00341B5F"/>
    <w:rsid w:val="003439D6"/>
    <w:rsid w:val="00344A43"/>
    <w:rsid w:val="003466C1"/>
    <w:rsid w:val="00350609"/>
    <w:rsid w:val="003528C0"/>
    <w:rsid w:val="0035347F"/>
    <w:rsid w:val="003544E5"/>
    <w:rsid w:val="00357701"/>
    <w:rsid w:val="00360450"/>
    <w:rsid w:val="003634A8"/>
    <w:rsid w:val="00370E7E"/>
    <w:rsid w:val="0037380D"/>
    <w:rsid w:val="0038164F"/>
    <w:rsid w:val="00387669"/>
    <w:rsid w:val="00391D1D"/>
    <w:rsid w:val="003924BC"/>
    <w:rsid w:val="00392B31"/>
    <w:rsid w:val="00396F56"/>
    <w:rsid w:val="003A3151"/>
    <w:rsid w:val="003B0910"/>
    <w:rsid w:val="003B126A"/>
    <w:rsid w:val="003B53A0"/>
    <w:rsid w:val="003B5477"/>
    <w:rsid w:val="003B5F54"/>
    <w:rsid w:val="003B68D2"/>
    <w:rsid w:val="003B6A94"/>
    <w:rsid w:val="003B6DAA"/>
    <w:rsid w:val="003C06E5"/>
    <w:rsid w:val="003C0AC8"/>
    <w:rsid w:val="003C2B18"/>
    <w:rsid w:val="003C36A3"/>
    <w:rsid w:val="003C37F8"/>
    <w:rsid w:val="003D6CFB"/>
    <w:rsid w:val="003D7225"/>
    <w:rsid w:val="003D79A8"/>
    <w:rsid w:val="003E379E"/>
    <w:rsid w:val="003E3E39"/>
    <w:rsid w:val="003E486A"/>
    <w:rsid w:val="003E492A"/>
    <w:rsid w:val="003E7DB3"/>
    <w:rsid w:val="003F14F3"/>
    <w:rsid w:val="003F2D19"/>
    <w:rsid w:val="00401E7F"/>
    <w:rsid w:val="004078F2"/>
    <w:rsid w:val="004140DA"/>
    <w:rsid w:val="00415AB1"/>
    <w:rsid w:val="00420DE3"/>
    <w:rsid w:val="00423522"/>
    <w:rsid w:val="00424790"/>
    <w:rsid w:val="00424FD2"/>
    <w:rsid w:val="00425BAD"/>
    <w:rsid w:val="004261D7"/>
    <w:rsid w:val="004262DB"/>
    <w:rsid w:val="00427044"/>
    <w:rsid w:val="0043292D"/>
    <w:rsid w:val="0043297A"/>
    <w:rsid w:val="004332BF"/>
    <w:rsid w:val="00441076"/>
    <w:rsid w:val="004520E9"/>
    <w:rsid w:val="00453D73"/>
    <w:rsid w:val="0045413A"/>
    <w:rsid w:val="00455F5A"/>
    <w:rsid w:val="00461C65"/>
    <w:rsid w:val="004629D0"/>
    <w:rsid w:val="0046530A"/>
    <w:rsid w:val="00465719"/>
    <w:rsid w:val="00473076"/>
    <w:rsid w:val="00473C67"/>
    <w:rsid w:val="00474B5F"/>
    <w:rsid w:val="00475CAD"/>
    <w:rsid w:val="00475F88"/>
    <w:rsid w:val="00480399"/>
    <w:rsid w:val="00480953"/>
    <w:rsid w:val="004849C0"/>
    <w:rsid w:val="00485606"/>
    <w:rsid w:val="004867F9"/>
    <w:rsid w:val="00487805"/>
    <w:rsid w:val="00490928"/>
    <w:rsid w:val="004926D4"/>
    <w:rsid w:val="00494DB9"/>
    <w:rsid w:val="00496EDE"/>
    <w:rsid w:val="004A6673"/>
    <w:rsid w:val="004B0F70"/>
    <w:rsid w:val="004B318B"/>
    <w:rsid w:val="004B411E"/>
    <w:rsid w:val="004B6EED"/>
    <w:rsid w:val="004B769D"/>
    <w:rsid w:val="004D2FFA"/>
    <w:rsid w:val="004D3EED"/>
    <w:rsid w:val="004D5AD4"/>
    <w:rsid w:val="004E693F"/>
    <w:rsid w:val="004F0FE6"/>
    <w:rsid w:val="004F2A5A"/>
    <w:rsid w:val="005010B3"/>
    <w:rsid w:val="005042C6"/>
    <w:rsid w:val="00512FE7"/>
    <w:rsid w:val="00513A02"/>
    <w:rsid w:val="00514B10"/>
    <w:rsid w:val="00517367"/>
    <w:rsid w:val="00523AF2"/>
    <w:rsid w:val="00523C4F"/>
    <w:rsid w:val="005272E9"/>
    <w:rsid w:val="00533C4E"/>
    <w:rsid w:val="00534BBD"/>
    <w:rsid w:val="005359B4"/>
    <w:rsid w:val="00542D59"/>
    <w:rsid w:val="00544A7F"/>
    <w:rsid w:val="005455ED"/>
    <w:rsid w:val="00547407"/>
    <w:rsid w:val="00551673"/>
    <w:rsid w:val="00552EE5"/>
    <w:rsid w:val="00553E41"/>
    <w:rsid w:val="00554A56"/>
    <w:rsid w:val="00561F86"/>
    <w:rsid w:val="00562D63"/>
    <w:rsid w:val="005631A8"/>
    <w:rsid w:val="00564824"/>
    <w:rsid w:val="00565EF1"/>
    <w:rsid w:val="0056756F"/>
    <w:rsid w:val="0056791F"/>
    <w:rsid w:val="00573517"/>
    <w:rsid w:val="00574D6A"/>
    <w:rsid w:val="00580966"/>
    <w:rsid w:val="005819A2"/>
    <w:rsid w:val="00581EF6"/>
    <w:rsid w:val="00582B52"/>
    <w:rsid w:val="00582F56"/>
    <w:rsid w:val="00583BC7"/>
    <w:rsid w:val="0058584B"/>
    <w:rsid w:val="00587B43"/>
    <w:rsid w:val="00592E32"/>
    <w:rsid w:val="005938AF"/>
    <w:rsid w:val="0059538F"/>
    <w:rsid w:val="005978AA"/>
    <w:rsid w:val="005A55B7"/>
    <w:rsid w:val="005B1F7F"/>
    <w:rsid w:val="005B272B"/>
    <w:rsid w:val="005B57FF"/>
    <w:rsid w:val="005B6451"/>
    <w:rsid w:val="005C1545"/>
    <w:rsid w:val="005C2CD3"/>
    <w:rsid w:val="005C616B"/>
    <w:rsid w:val="005D4E6C"/>
    <w:rsid w:val="005D60B4"/>
    <w:rsid w:val="005D64EF"/>
    <w:rsid w:val="005E100C"/>
    <w:rsid w:val="005E403C"/>
    <w:rsid w:val="005E472F"/>
    <w:rsid w:val="005E4F1A"/>
    <w:rsid w:val="005E5A7D"/>
    <w:rsid w:val="005E5C53"/>
    <w:rsid w:val="005F7B15"/>
    <w:rsid w:val="00601171"/>
    <w:rsid w:val="00602D79"/>
    <w:rsid w:val="0062062D"/>
    <w:rsid w:val="00632E30"/>
    <w:rsid w:val="006334AA"/>
    <w:rsid w:val="00634911"/>
    <w:rsid w:val="00636BF1"/>
    <w:rsid w:val="00637C11"/>
    <w:rsid w:val="00640DBA"/>
    <w:rsid w:val="00641713"/>
    <w:rsid w:val="00641920"/>
    <w:rsid w:val="00653907"/>
    <w:rsid w:val="00653E14"/>
    <w:rsid w:val="00656345"/>
    <w:rsid w:val="006577A3"/>
    <w:rsid w:val="00660149"/>
    <w:rsid w:val="00665883"/>
    <w:rsid w:val="00672B6E"/>
    <w:rsid w:val="00674712"/>
    <w:rsid w:val="00677479"/>
    <w:rsid w:val="006803EF"/>
    <w:rsid w:val="006825EA"/>
    <w:rsid w:val="00682749"/>
    <w:rsid w:val="006828CC"/>
    <w:rsid w:val="00683701"/>
    <w:rsid w:val="00683F8D"/>
    <w:rsid w:val="006842F6"/>
    <w:rsid w:val="00690798"/>
    <w:rsid w:val="00691693"/>
    <w:rsid w:val="00693B8C"/>
    <w:rsid w:val="00695575"/>
    <w:rsid w:val="00697352"/>
    <w:rsid w:val="006A1908"/>
    <w:rsid w:val="006A438B"/>
    <w:rsid w:val="006A48BD"/>
    <w:rsid w:val="006B2C3D"/>
    <w:rsid w:val="006B3543"/>
    <w:rsid w:val="006B5FB4"/>
    <w:rsid w:val="006C2FB6"/>
    <w:rsid w:val="006C6BA5"/>
    <w:rsid w:val="006C7BCD"/>
    <w:rsid w:val="006D0078"/>
    <w:rsid w:val="006D0391"/>
    <w:rsid w:val="006D0C49"/>
    <w:rsid w:val="006D2703"/>
    <w:rsid w:val="006D429C"/>
    <w:rsid w:val="006D5027"/>
    <w:rsid w:val="006D6AA5"/>
    <w:rsid w:val="006E574F"/>
    <w:rsid w:val="006E6596"/>
    <w:rsid w:val="006F1062"/>
    <w:rsid w:val="006F164A"/>
    <w:rsid w:val="006F5E00"/>
    <w:rsid w:val="0070241A"/>
    <w:rsid w:val="00704256"/>
    <w:rsid w:val="00707652"/>
    <w:rsid w:val="007078ED"/>
    <w:rsid w:val="00707A35"/>
    <w:rsid w:val="007126F4"/>
    <w:rsid w:val="00714AE6"/>
    <w:rsid w:val="00720FB1"/>
    <w:rsid w:val="00723652"/>
    <w:rsid w:val="00731B5E"/>
    <w:rsid w:val="00732124"/>
    <w:rsid w:val="007344E6"/>
    <w:rsid w:val="007414FB"/>
    <w:rsid w:val="00741E38"/>
    <w:rsid w:val="007437DB"/>
    <w:rsid w:val="00743CFD"/>
    <w:rsid w:val="007512E6"/>
    <w:rsid w:val="007520DF"/>
    <w:rsid w:val="00757323"/>
    <w:rsid w:val="0076430D"/>
    <w:rsid w:val="0076449A"/>
    <w:rsid w:val="00764E8C"/>
    <w:rsid w:val="0077104D"/>
    <w:rsid w:val="00774905"/>
    <w:rsid w:val="00781A49"/>
    <w:rsid w:val="007821DC"/>
    <w:rsid w:val="00782710"/>
    <w:rsid w:val="00783466"/>
    <w:rsid w:val="00794F62"/>
    <w:rsid w:val="007A2527"/>
    <w:rsid w:val="007A436A"/>
    <w:rsid w:val="007B0F97"/>
    <w:rsid w:val="007B2097"/>
    <w:rsid w:val="007C31D5"/>
    <w:rsid w:val="007C4C1A"/>
    <w:rsid w:val="007C65DA"/>
    <w:rsid w:val="007D3AC0"/>
    <w:rsid w:val="007D58CD"/>
    <w:rsid w:val="007D5F7E"/>
    <w:rsid w:val="007D63B1"/>
    <w:rsid w:val="007E198F"/>
    <w:rsid w:val="007E1B7A"/>
    <w:rsid w:val="007E2AC9"/>
    <w:rsid w:val="007F16B3"/>
    <w:rsid w:val="007F350A"/>
    <w:rsid w:val="007F5C83"/>
    <w:rsid w:val="007F65CB"/>
    <w:rsid w:val="008012A4"/>
    <w:rsid w:val="00803F12"/>
    <w:rsid w:val="0080411C"/>
    <w:rsid w:val="00806A8C"/>
    <w:rsid w:val="00810507"/>
    <w:rsid w:val="008153E2"/>
    <w:rsid w:val="0082309F"/>
    <w:rsid w:val="00824021"/>
    <w:rsid w:val="008341E5"/>
    <w:rsid w:val="00836737"/>
    <w:rsid w:val="00845056"/>
    <w:rsid w:val="0084578A"/>
    <w:rsid w:val="00845B41"/>
    <w:rsid w:val="00846667"/>
    <w:rsid w:val="00852FF4"/>
    <w:rsid w:val="00855739"/>
    <w:rsid w:val="00861BCE"/>
    <w:rsid w:val="0086363F"/>
    <w:rsid w:val="0086442B"/>
    <w:rsid w:val="00864A1F"/>
    <w:rsid w:val="00866DB9"/>
    <w:rsid w:val="00870071"/>
    <w:rsid w:val="00872381"/>
    <w:rsid w:val="008726E7"/>
    <w:rsid w:val="00873122"/>
    <w:rsid w:val="008745F0"/>
    <w:rsid w:val="0087470E"/>
    <w:rsid w:val="00883B48"/>
    <w:rsid w:val="008924F0"/>
    <w:rsid w:val="00893C02"/>
    <w:rsid w:val="00895150"/>
    <w:rsid w:val="008A03CA"/>
    <w:rsid w:val="008A3679"/>
    <w:rsid w:val="008A4EEA"/>
    <w:rsid w:val="008A628F"/>
    <w:rsid w:val="008B2F5C"/>
    <w:rsid w:val="008C0B6B"/>
    <w:rsid w:val="008C74B7"/>
    <w:rsid w:val="008D116F"/>
    <w:rsid w:val="008D175F"/>
    <w:rsid w:val="008D2BDA"/>
    <w:rsid w:val="008D78CB"/>
    <w:rsid w:val="008E0356"/>
    <w:rsid w:val="008E2443"/>
    <w:rsid w:val="008E5766"/>
    <w:rsid w:val="008F32FD"/>
    <w:rsid w:val="008F48F3"/>
    <w:rsid w:val="008F74D1"/>
    <w:rsid w:val="00910508"/>
    <w:rsid w:val="0091194C"/>
    <w:rsid w:val="009125DB"/>
    <w:rsid w:val="00914269"/>
    <w:rsid w:val="00914D7C"/>
    <w:rsid w:val="00916B27"/>
    <w:rsid w:val="00916DF5"/>
    <w:rsid w:val="009213D2"/>
    <w:rsid w:val="00922957"/>
    <w:rsid w:val="00925556"/>
    <w:rsid w:val="009302EF"/>
    <w:rsid w:val="009324D2"/>
    <w:rsid w:val="00935B32"/>
    <w:rsid w:val="00936D69"/>
    <w:rsid w:val="00936E34"/>
    <w:rsid w:val="00937624"/>
    <w:rsid w:val="00944223"/>
    <w:rsid w:val="00946A33"/>
    <w:rsid w:val="00947C1F"/>
    <w:rsid w:val="0095459B"/>
    <w:rsid w:val="0095752B"/>
    <w:rsid w:val="00961834"/>
    <w:rsid w:val="0096238A"/>
    <w:rsid w:val="00965AFA"/>
    <w:rsid w:val="00965CE9"/>
    <w:rsid w:val="00971791"/>
    <w:rsid w:val="00972F4D"/>
    <w:rsid w:val="0097567B"/>
    <w:rsid w:val="009823EC"/>
    <w:rsid w:val="009833E0"/>
    <w:rsid w:val="009836C0"/>
    <w:rsid w:val="00983A69"/>
    <w:rsid w:val="0099150B"/>
    <w:rsid w:val="00991D5D"/>
    <w:rsid w:val="00995CF5"/>
    <w:rsid w:val="009967A1"/>
    <w:rsid w:val="00997A7A"/>
    <w:rsid w:val="009A2691"/>
    <w:rsid w:val="009A350A"/>
    <w:rsid w:val="009A4D79"/>
    <w:rsid w:val="009A6514"/>
    <w:rsid w:val="009B2893"/>
    <w:rsid w:val="009B56E1"/>
    <w:rsid w:val="009B5D9B"/>
    <w:rsid w:val="009B6B1D"/>
    <w:rsid w:val="009B74A7"/>
    <w:rsid w:val="009B7E58"/>
    <w:rsid w:val="009C0B09"/>
    <w:rsid w:val="009C3EA0"/>
    <w:rsid w:val="009C4ECB"/>
    <w:rsid w:val="009C58AD"/>
    <w:rsid w:val="009C70EA"/>
    <w:rsid w:val="009D0472"/>
    <w:rsid w:val="009D33D9"/>
    <w:rsid w:val="009D5634"/>
    <w:rsid w:val="009D7577"/>
    <w:rsid w:val="009D76AD"/>
    <w:rsid w:val="009E3ADB"/>
    <w:rsid w:val="009E3EE7"/>
    <w:rsid w:val="009E5E31"/>
    <w:rsid w:val="009F1046"/>
    <w:rsid w:val="009F1FA4"/>
    <w:rsid w:val="009F2C9C"/>
    <w:rsid w:val="009F3B58"/>
    <w:rsid w:val="009F49E5"/>
    <w:rsid w:val="009F5AB0"/>
    <w:rsid w:val="009F72AD"/>
    <w:rsid w:val="00A0001B"/>
    <w:rsid w:val="00A04E8A"/>
    <w:rsid w:val="00A05331"/>
    <w:rsid w:val="00A05F07"/>
    <w:rsid w:val="00A11970"/>
    <w:rsid w:val="00A11F5B"/>
    <w:rsid w:val="00A1387E"/>
    <w:rsid w:val="00A15196"/>
    <w:rsid w:val="00A15E96"/>
    <w:rsid w:val="00A17881"/>
    <w:rsid w:val="00A178F2"/>
    <w:rsid w:val="00A21279"/>
    <w:rsid w:val="00A23684"/>
    <w:rsid w:val="00A24D53"/>
    <w:rsid w:val="00A252E8"/>
    <w:rsid w:val="00A2672A"/>
    <w:rsid w:val="00A35229"/>
    <w:rsid w:val="00A3667F"/>
    <w:rsid w:val="00A37814"/>
    <w:rsid w:val="00A40CFB"/>
    <w:rsid w:val="00A45BE8"/>
    <w:rsid w:val="00A46F76"/>
    <w:rsid w:val="00A52C97"/>
    <w:rsid w:val="00A540A5"/>
    <w:rsid w:val="00A54820"/>
    <w:rsid w:val="00A56128"/>
    <w:rsid w:val="00A57C28"/>
    <w:rsid w:val="00A63F95"/>
    <w:rsid w:val="00A70AD0"/>
    <w:rsid w:val="00A70B9D"/>
    <w:rsid w:val="00A7214E"/>
    <w:rsid w:val="00A72915"/>
    <w:rsid w:val="00A747C8"/>
    <w:rsid w:val="00A74CAA"/>
    <w:rsid w:val="00A76E95"/>
    <w:rsid w:val="00A8299F"/>
    <w:rsid w:val="00A83391"/>
    <w:rsid w:val="00A85BDE"/>
    <w:rsid w:val="00A8675B"/>
    <w:rsid w:val="00A90906"/>
    <w:rsid w:val="00A91555"/>
    <w:rsid w:val="00A91CDF"/>
    <w:rsid w:val="00A92736"/>
    <w:rsid w:val="00A9395B"/>
    <w:rsid w:val="00A969B3"/>
    <w:rsid w:val="00A97662"/>
    <w:rsid w:val="00AA0837"/>
    <w:rsid w:val="00AA1AD1"/>
    <w:rsid w:val="00AA4245"/>
    <w:rsid w:val="00AA439B"/>
    <w:rsid w:val="00AA6503"/>
    <w:rsid w:val="00AA7CB4"/>
    <w:rsid w:val="00AB0329"/>
    <w:rsid w:val="00AB093A"/>
    <w:rsid w:val="00AB5D43"/>
    <w:rsid w:val="00AC12D3"/>
    <w:rsid w:val="00AC4D0F"/>
    <w:rsid w:val="00AC6D0E"/>
    <w:rsid w:val="00AD0918"/>
    <w:rsid w:val="00AD27B2"/>
    <w:rsid w:val="00AE2351"/>
    <w:rsid w:val="00AF1631"/>
    <w:rsid w:val="00AF3583"/>
    <w:rsid w:val="00B036FC"/>
    <w:rsid w:val="00B04B38"/>
    <w:rsid w:val="00B055B2"/>
    <w:rsid w:val="00B05BFC"/>
    <w:rsid w:val="00B06ECA"/>
    <w:rsid w:val="00B11AC2"/>
    <w:rsid w:val="00B1319F"/>
    <w:rsid w:val="00B1736B"/>
    <w:rsid w:val="00B20E0F"/>
    <w:rsid w:val="00B239D0"/>
    <w:rsid w:val="00B262D4"/>
    <w:rsid w:val="00B30933"/>
    <w:rsid w:val="00B314CD"/>
    <w:rsid w:val="00B32701"/>
    <w:rsid w:val="00B4020A"/>
    <w:rsid w:val="00B40513"/>
    <w:rsid w:val="00B44BC0"/>
    <w:rsid w:val="00B4552D"/>
    <w:rsid w:val="00B46D65"/>
    <w:rsid w:val="00B513EE"/>
    <w:rsid w:val="00B51518"/>
    <w:rsid w:val="00B52E58"/>
    <w:rsid w:val="00B56B04"/>
    <w:rsid w:val="00B622DA"/>
    <w:rsid w:val="00B62A39"/>
    <w:rsid w:val="00B63C7E"/>
    <w:rsid w:val="00B63D94"/>
    <w:rsid w:val="00B709C8"/>
    <w:rsid w:val="00B70F81"/>
    <w:rsid w:val="00B73C76"/>
    <w:rsid w:val="00B77A3A"/>
    <w:rsid w:val="00B828FF"/>
    <w:rsid w:val="00B82BCE"/>
    <w:rsid w:val="00B83C3A"/>
    <w:rsid w:val="00B83F0A"/>
    <w:rsid w:val="00B85646"/>
    <w:rsid w:val="00B87A69"/>
    <w:rsid w:val="00B91E25"/>
    <w:rsid w:val="00B941BF"/>
    <w:rsid w:val="00B948EA"/>
    <w:rsid w:val="00B96853"/>
    <w:rsid w:val="00B96970"/>
    <w:rsid w:val="00BA5FAF"/>
    <w:rsid w:val="00BA6064"/>
    <w:rsid w:val="00BA6950"/>
    <w:rsid w:val="00BA7885"/>
    <w:rsid w:val="00BB1945"/>
    <w:rsid w:val="00BB2004"/>
    <w:rsid w:val="00BB57C8"/>
    <w:rsid w:val="00BC3ECA"/>
    <w:rsid w:val="00BC6D55"/>
    <w:rsid w:val="00BD2092"/>
    <w:rsid w:val="00BD7EB9"/>
    <w:rsid w:val="00BE04E0"/>
    <w:rsid w:val="00BE4264"/>
    <w:rsid w:val="00BE4FFD"/>
    <w:rsid w:val="00BE79A8"/>
    <w:rsid w:val="00BF1326"/>
    <w:rsid w:val="00BF1642"/>
    <w:rsid w:val="00BF3A29"/>
    <w:rsid w:val="00BF3FD5"/>
    <w:rsid w:val="00C029EC"/>
    <w:rsid w:val="00C05A1E"/>
    <w:rsid w:val="00C148AD"/>
    <w:rsid w:val="00C16CD2"/>
    <w:rsid w:val="00C237FC"/>
    <w:rsid w:val="00C3389C"/>
    <w:rsid w:val="00C355D5"/>
    <w:rsid w:val="00C43281"/>
    <w:rsid w:val="00C471B8"/>
    <w:rsid w:val="00C53C34"/>
    <w:rsid w:val="00C5418B"/>
    <w:rsid w:val="00C547D4"/>
    <w:rsid w:val="00C55342"/>
    <w:rsid w:val="00C579EB"/>
    <w:rsid w:val="00C65EFE"/>
    <w:rsid w:val="00C703D4"/>
    <w:rsid w:val="00C72B43"/>
    <w:rsid w:val="00C7645F"/>
    <w:rsid w:val="00C774D7"/>
    <w:rsid w:val="00C80495"/>
    <w:rsid w:val="00C83C9F"/>
    <w:rsid w:val="00C84374"/>
    <w:rsid w:val="00C85FBE"/>
    <w:rsid w:val="00C903F0"/>
    <w:rsid w:val="00C92355"/>
    <w:rsid w:val="00C9436A"/>
    <w:rsid w:val="00C96CFF"/>
    <w:rsid w:val="00C977EC"/>
    <w:rsid w:val="00C97EF3"/>
    <w:rsid w:val="00CA00F0"/>
    <w:rsid w:val="00CA0A1A"/>
    <w:rsid w:val="00CA6AB5"/>
    <w:rsid w:val="00CB0B35"/>
    <w:rsid w:val="00CB43C0"/>
    <w:rsid w:val="00CB59CC"/>
    <w:rsid w:val="00CB6021"/>
    <w:rsid w:val="00CB7210"/>
    <w:rsid w:val="00CC4ED6"/>
    <w:rsid w:val="00CC63E8"/>
    <w:rsid w:val="00CD1341"/>
    <w:rsid w:val="00CD2F3C"/>
    <w:rsid w:val="00CD3C80"/>
    <w:rsid w:val="00CD3F41"/>
    <w:rsid w:val="00CD7912"/>
    <w:rsid w:val="00CE4287"/>
    <w:rsid w:val="00CE5DFA"/>
    <w:rsid w:val="00CF2FBC"/>
    <w:rsid w:val="00CF6323"/>
    <w:rsid w:val="00CF74C8"/>
    <w:rsid w:val="00D004D0"/>
    <w:rsid w:val="00D038F2"/>
    <w:rsid w:val="00D04C52"/>
    <w:rsid w:val="00D07F83"/>
    <w:rsid w:val="00D14F3B"/>
    <w:rsid w:val="00D152AF"/>
    <w:rsid w:val="00D16B8B"/>
    <w:rsid w:val="00D30E3E"/>
    <w:rsid w:val="00D32F86"/>
    <w:rsid w:val="00D34943"/>
    <w:rsid w:val="00D34A0C"/>
    <w:rsid w:val="00D3626F"/>
    <w:rsid w:val="00D364E0"/>
    <w:rsid w:val="00D371AE"/>
    <w:rsid w:val="00D3789B"/>
    <w:rsid w:val="00D4159C"/>
    <w:rsid w:val="00D43489"/>
    <w:rsid w:val="00D45D7E"/>
    <w:rsid w:val="00D5295B"/>
    <w:rsid w:val="00D53621"/>
    <w:rsid w:val="00D62F74"/>
    <w:rsid w:val="00D66C87"/>
    <w:rsid w:val="00D679F0"/>
    <w:rsid w:val="00D72C37"/>
    <w:rsid w:val="00D7309B"/>
    <w:rsid w:val="00D7539D"/>
    <w:rsid w:val="00D753A3"/>
    <w:rsid w:val="00D803C7"/>
    <w:rsid w:val="00D82547"/>
    <w:rsid w:val="00D83290"/>
    <w:rsid w:val="00D87E72"/>
    <w:rsid w:val="00D90065"/>
    <w:rsid w:val="00D91A9F"/>
    <w:rsid w:val="00D920EB"/>
    <w:rsid w:val="00D949CD"/>
    <w:rsid w:val="00D94E68"/>
    <w:rsid w:val="00D96C9E"/>
    <w:rsid w:val="00DA0A17"/>
    <w:rsid w:val="00DA1F5A"/>
    <w:rsid w:val="00DA3EEC"/>
    <w:rsid w:val="00DA4C71"/>
    <w:rsid w:val="00DA6A12"/>
    <w:rsid w:val="00DA7075"/>
    <w:rsid w:val="00DA7F95"/>
    <w:rsid w:val="00DB09A9"/>
    <w:rsid w:val="00DB198E"/>
    <w:rsid w:val="00DB3C85"/>
    <w:rsid w:val="00DB41A3"/>
    <w:rsid w:val="00DB4C54"/>
    <w:rsid w:val="00DC05F0"/>
    <w:rsid w:val="00DC0E89"/>
    <w:rsid w:val="00DC238E"/>
    <w:rsid w:val="00DC55F8"/>
    <w:rsid w:val="00DD00E3"/>
    <w:rsid w:val="00DD3372"/>
    <w:rsid w:val="00DD51FA"/>
    <w:rsid w:val="00DD612B"/>
    <w:rsid w:val="00DE144C"/>
    <w:rsid w:val="00DE2351"/>
    <w:rsid w:val="00DE4592"/>
    <w:rsid w:val="00DE5A12"/>
    <w:rsid w:val="00DE5FEB"/>
    <w:rsid w:val="00DE7367"/>
    <w:rsid w:val="00DE7643"/>
    <w:rsid w:val="00DF4928"/>
    <w:rsid w:val="00E00002"/>
    <w:rsid w:val="00E0700C"/>
    <w:rsid w:val="00E140BB"/>
    <w:rsid w:val="00E15F90"/>
    <w:rsid w:val="00E230D7"/>
    <w:rsid w:val="00E2350C"/>
    <w:rsid w:val="00E24B02"/>
    <w:rsid w:val="00E250A2"/>
    <w:rsid w:val="00E27E1D"/>
    <w:rsid w:val="00E30A14"/>
    <w:rsid w:val="00E30A26"/>
    <w:rsid w:val="00E32DA0"/>
    <w:rsid w:val="00E3324B"/>
    <w:rsid w:val="00E349B0"/>
    <w:rsid w:val="00E3604D"/>
    <w:rsid w:val="00E4218A"/>
    <w:rsid w:val="00E50D88"/>
    <w:rsid w:val="00E52846"/>
    <w:rsid w:val="00E56AF2"/>
    <w:rsid w:val="00E6202E"/>
    <w:rsid w:val="00E7198A"/>
    <w:rsid w:val="00E7354B"/>
    <w:rsid w:val="00E740AF"/>
    <w:rsid w:val="00E76122"/>
    <w:rsid w:val="00E771D6"/>
    <w:rsid w:val="00E81092"/>
    <w:rsid w:val="00E822F6"/>
    <w:rsid w:val="00E84707"/>
    <w:rsid w:val="00E86BF6"/>
    <w:rsid w:val="00E90140"/>
    <w:rsid w:val="00E901C0"/>
    <w:rsid w:val="00E9321C"/>
    <w:rsid w:val="00E93341"/>
    <w:rsid w:val="00E93E07"/>
    <w:rsid w:val="00E9451B"/>
    <w:rsid w:val="00E959EC"/>
    <w:rsid w:val="00EA3991"/>
    <w:rsid w:val="00EA3A64"/>
    <w:rsid w:val="00EA5188"/>
    <w:rsid w:val="00EA74C7"/>
    <w:rsid w:val="00EB0A5E"/>
    <w:rsid w:val="00EB2019"/>
    <w:rsid w:val="00EB218E"/>
    <w:rsid w:val="00EB2462"/>
    <w:rsid w:val="00EC1249"/>
    <w:rsid w:val="00EC1851"/>
    <w:rsid w:val="00EC25C1"/>
    <w:rsid w:val="00EC2F33"/>
    <w:rsid w:val="00EC31A8"/>
    <w:rsid w:val="00EC5493"/>
    <w:rsid w:val="00EC5DB7"/>
    <w:rsid w:val="00EC6709"/>
    <w:rsid w:val="00EC68EB"/>
    <w:rsid w:val="00EC704E"/>
    <w:rsid w:val="00ED05C6"/>
    <w:rsid w:val="00ED381A"/>
    <w:rsid w:val="00ED4710"/>
    <w:rsid w:val="00ED50B4"/>
    <w:rsid w:val="00ED69E2"/>
    <w:rsid w:val="00EE2CF5"/>
    <w:rsid w:val="00EE4682"/>
    <w:rsid w:val="00EE6A2F"/>
    <w:rsid w:val="00EF7C37"/>
    <w:rsid w:val="00F003F9"/>
    <w:rsid w:val="00F01E5D"/>
    <w:rsid w:val="00F02CDD"/>
    <w:rsid w:val="00F0699A"/>
    <w:rsid w:val="00F10600"/>
    <w:rsid w:val="00F11AAC"/>
    <w:rsid w:val="00F1270E"/>
    <w:rsid w:val="00F21614"/>
    <w:rsid w:val="00F223D5"/>
    <w:rsid w:val="00F25EF6"/>
    <w:rsid w:val="00F26433"/>
    <w:rsid w:val="00F30D37"/>
    <w:rsid w:val="00F323B7"/>
    <w:rsid w:val="00F4009E"/>
    <w:rsid w:val="00F43369"/>
    <w:rsid w:val="00F462CC"/>
    <w:rsid w:val="00F513B8"/>
    <w:rsid w:val="00F53CC2"/>
    <w:rsid w:val="00F53E54"/>
    <w:rsid w:val="00F60F06"/>
    <w:rsid w:val="00F63F0D"/>
    <w:rsid w:val="00F64397"/>
    <w:rsid w:val="00F65536"/>
    <w:rsid w:val="00F71B89"/>
    <w:rsid w:val="00F723E7"/>
    <w:rsid w:val="00F75DD5"/>
    <w:rsid w:val="00F75E61"/>
    <w:rsid w:val="00F846E4"/>
    <w:rsid w:val="00F93B77"/>
    <w:rsid w:val="00F951E0"/>
    <w:rsid w:val="00F969EC"/>
    <w:rsid w:val="00FA16DE"/>
    <w:rsid w:val="00FA2CFC"/>
    <w:rsid w:val="00FA30E7"/>
    <w:rsid w:val="00FA5DF9"/>
    <w:rsid w:val="00FB43C7"/>
    <w:rsid w:val="00FB4DE0"/>
    <w:rsid w:val="00FB65B6"/>
    <w:rsid w:val="00FC1CEC"/>
    <w:rsid w:val="00FC605F"/>
    <w:rsid w:val="00FC760D"/>
    <w:rsid w:val="00FD3348"/>
    <w:rsid w:val="00FD6B39"/>
    <w:rsid w:val="00FD7123"/>
    <w:rsid w:val="00FE1010"/>
    <w:rsid w:val="00FE19EE"/>
    <w:rsid w:val="00FF5A0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195FE5"/>
  <w15:docId w15:val="{B5D95B18-896F-497D-B8D8-532B1246A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9A8"/>
    <w:pPr>
      <w:spacing w:after="200" w:line="276" w:lineRule="auto"/>
    </w:pPr>
    <w:rPr>
      <w:sz w:val="22"/>
      <w:szCs w:val="22"/>
      <w:lang w:val="en-US" w:eastAsia="en-US"/>
    </w:rPr>
  </w:style>
  <w:style w:type="paragraph" w:styleId="Heading1">
    <w:name w:val="heading 1"/>
    <w:basedOn w:val="ListParagraph"/>
    <w:next w:val="Normal"/>
    <w:link w:val="Heading1Char"/>
    <w:qFormat/>
    <w:rsid w:val="00CD2F3C"/>
    <w:pPr>
      <w:numPr>
        <w:numId w:val="11"/>
      </w:numPr>
      <w:pBdr>
        <w:bottom w:val="single" w:sz="4" w:space="1" w:color="auto"/>
      </w:pBdr>
      <w:jc w:val="both"/>
      <w:outlineLvl w:val="0"/>
    </w:pPr>
    <w:rPr>
      <w:b/>
      <w:sz w:val="28"/>
      <w:lang w:val="el-GR"/>
    </w:rPr>
  </w:style>
  <w:style w:type="paragraph" w:styleId="Heading2">
    <w:name w:val="heading 2"/>
    <w:basedOn w:val="Normal"/>
    <w:next w:val="Normal"/>
    <w:link w:val="Heading2Char"/>
    <w:qFormat/>
    <w:rsid w:val="00B1319F"/>
    <w:pPr>
      <w:numPr>
        <w:ilvl w:val="1"/>
        <w:numId w:val="3"/>
      </w:numPr>
      <w:spacing w:before="200" w:after="0" w:line="240" w:lineRule="auto"/>
      <w:outlineLvl w:val="1"/>
    </w:pPr>
    <w:rPr>
      <w:b/>
      <w:sz w:val="28"/>
    </w:rPr>
  </w:style>
  <w:style w:type="paragraph" w:styleId="Heading3">
    <w:name w:val="heading 3"/>
    <w:basedOn w:val="Normal"/>
    <w:next w:val="Normal"/>
    <w:link w:val="Heading3Char"/>
    <w:qFormat/>
    <w:rsid w:val="00B1319F"/>
    <w:pPr>
      <w:keepNext/>
      <w:keepLines/>
      <w:numPr>
        <w:ilvl w:val="2"/>
        <w:numId w:val="3"/>
      </w:numPr>
      <w:spacing w:before="120" w:after="0"/>
      <w:outlineLvl w:val="2"/>
    </w:pPr>
    <w:rPr>
      <w:rFonts w:ascii="Cambria" w:eastAsia="Times New Roman" w:hAnsi="Cambria"/>
      <w:b/>
      <w:bCs/>
      <w:color w:val="4F81BD"/>
    </w:rPr>
  </w:style>
  <w:style w:type="paragraph" w:styleId="Heading4">
    <w:name w:val="heading 4"/>
    <w:basedOn w:val="Normal"/>
    <w:next w:val="Normal"/>
    <w:link w:val="Heading4Char"/>
    <w:qFormat/>
    <w:rsid w:val="00B1319F"/>
    <w:pPr>
      <w:keepNext/>
      <w:keepLines/>
      <w:numPr>
        <w:ilvl w:val="3"/>
        <w:numId w:val="3"/>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qFormat/>
    <w:rsid w:val="00B1319F"/>
    <w:pPr>
      <w:keepNext/>
      <w:keepLines/>
      <w:numPr>
        <w:ilvl w:val="4"/>
        <w:numId w:val="3"/>
      </w:numPr>
      <w:spacing w:before="200" w:after="0"/>
      <w:outlineLvl w:val="4"/>
    </w:pPr>
    <w:rPr>
      <w:rFonts w:ascii="Cambria" w:eastAsia="Times New Roman" w:hAnsi="Cambria"/>
      <w:color w:val="243F60"/>
    </w:rPr>
  </w:style>
  <w:style w:type="paragraph" w:styleId="Heading6">
    <w:name w:val="heading 6"/>
    <w:basedOn w:val="Normal"/>
    <w:next w:val="Normal"/>
    <w:link w:val="Heading6Char"/>
    <w:qFormat/>
    <w:rsid w:val="00B1319F"/>
    <w:pPr>
      <w:keepNext/>
      <w:keepLines/>
      <w:numPr>
        <w:ilvl w:val="5"/>
        <w:numId w:val="3"/>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qFormat/>
    <w:rsid w:val="00B1319F"/>
    <w:pPr>
      <w:keepNext/>
      <w:keepLines/>
      <w:numPr>
        <w:ilvl w:val="6"/>
        <w:numId w:val="3"/>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qFormat/>
    <w:rsid w:val="00B1319F"/>
    <w:pPr>
      <w:keepNext/>
      <w:keepLines/>
      <w:numPr>
        <w:ilvl w:val="7"/>
        <w:numId w:val="3"/>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qFormat/>
    <w:rsid w:val="00B1319F"/>
    <w:pPr>
      <w:keepNext/>
      <w:keepLines/>
      <w:numPr>
        <w:ilvl w:val="8"/>
        <w:numId w:val="3"/>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832"/>
    <w:pPr>
      <w:ind w:left="720"/>
      <w:contextualSpacing/>
    </w:pPr>
  </w:style>
  <w:style w:type="table" w:styleId="TableGrid">
    <w:name w:val="Table Grid"/>
    <w:basedOn w:val="TableNormal"/>
    <w:uiPriority w:val="59"/>
    <w:rsid w:val="002B4B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8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814"/>
    <w:rPr>
      <w:rFonts w:ascii="Tahoma" w:hAnsi="Tahoma" w:cs="Tahoma"/>
      <w:sz w:val="16"/>
      <w:szCs w:val="16"/>
    </w:rPr>
  </w:style>
  <w:style w:type="character" w:styleId="CommentReference">
    <w:name w:val="annotation reference"/>
    <w:basedOn w:val="DefaultParagraphFont"/>
    <w:uiPriority w:val="99"/>
    <w:semiHidden/>
    <w:unhideWhenUsed/>
    <w:rsid w:val="00DA1F5A"/>
    <w:rPr>
      <w:sz w:val="16"/>
      <w:szCs w:val="16"/>
    </w:rPr>
  </w:style>
  <w:style w:type="paragraph" w:styleId="CommentText">
    <w:name w:val="annotation text"/>
    <w:basedOn w:val="Normal"/>
    <w:link w:val="CommentTextChar"/>
    <w:uiPriority w:val="99"/>
    <w:semiHidden/>
    <w:unhideWhenUsed/>
    <w:rsid w:val="00DA1F5A"/>
    <w:pPr>
      <w:spacing w:line="240" w:lineRule="auto"/>
    </w:pPr>
    <w:rPr>
      <w:sz w:val="20"/>
      <w:szCs w:val="20"/>
    </w:rPr>
  </w:style>
  <w:style w:type="character" w:customStyle="1" w:styleId="CommentTextChar">
    <w:name w:val="Comment Text Char"/>
    <w:basedOn w:val="DefaultParagraphFont"/>
    <w:link w:val="CommentText"/>
    <w:uiPriority w:val="99"/>
    <w:semiHidden/>
    <w:rsid w:val="00DA1F5A"/>
  </w:style>
  <w:style w:type="paragraph" w:styleId="CommentSubject">
    <w:name w:val="annotation subject"/>
    <w:basedOn w:val="CommentText"/>
    <w:next w:val="CommentText"/>
    <w:link w:val="CommentSubjectChar"/>
    <w:uiPriority w:val="99"/>
    <w:semiHidden/>
    <w:unhideWhenUsed/>
    <w:rsid w:val="00DA1F5A"/>
    <w:rPr>
      <w:b/>
      <w:bCs/>
    </w:rPr>
  </w:style>
  <w:style w:type="character" w:customStyle="1" w:styleId="CommentSubjectChar">
    <w:name w:val="Comment Subject Char"/>
    <w:basedOn w:val="CommentTextChar"/>
    <w:link w:val="CommentSubject"/>
    <w:uiPriority w:val="99"/>
    <w:semiHidden/>
    <w:rsid w:val="00DA1F5A"/>
    <w:rPr>
      <w:b/>
      <w:bCs/>
    </w:rPr>
  </w:style>
  <w:style w:type="character" w:customStyle="1" w:styleId="Heading1Char">
    <w:name w:val="Heading 1 Char"/>
    <w:basedOn w:val="DefaultParagraphFont"/>
    <w:link w:val="Heading1"/>
    <w:rsid w:val="00CD2F3C"/>
    <w:rPr>
      <w:b/>
      <w:sz w:val="28"/>
      <w:szCs w:val="22"/>
      <w:lang w:eastAsia="en-US"/>
    </w:rPr>
  </w:style>
  <w:style w:type="character" w:customStyle="1" w:styleId="Heading2Char">
    <w:name w:val="Heading 2 Char"/>
    <w:basedOn w:val="DefaultParagraphFont"/>
    <w:link w:val="Heading2"/>
    <w:rsid w:val="00B1319F"/>
    <w:rPr>
      <w:b/>
      <w:sz w:val="28"/>
      <w:szCs w:val="22"/>
    </w:rPr>
  </w:style>
  <w:style w:type="character" w:customStyle="1" w:styleId="Heading3Char">
    <w:name w:val="Heading 3 Char"/>
    <w:basedOn w:val="DefaultParagraphFont"/>
    <w:link w:val="Heading3"/>
    <w:rsid w:val="00B1319F"/>
    <w:rPr>
      <w:rFonts w:ascii="Cambria" w:eastAsia="Times New Roman" w:hAnsi="Cambria"/>
      <w:b/>
      <w:bCs/>
      <w:color w:val="4F81BD"/>
      <w:sz w:val="22"/>
      <w:szCs w:val="22"/>
    </w:rPr>
  </w:style>
  <w:style w:type="character" w:customStyle="1" w:styleId="Heading4Char">
    <w:name w:val="Heading 4 Char"/>
    <w:basedOn w:val="DefaultParagraphFont"/>
    <w:link w:val="Heading4"/>
    <w:rsid w:val="00B1319F"/>
    <w:rPr>
      <w:rFonts w:ascii="Cambria" w:eastAsia="Times New Roman" w:hAnsi="Cambria"/>
      <w:b/>
      <w:bCs/>
      <w:i/>
      <w:iCs/>
      <w:color w:val="4F81BD"/>
      <w:sz w:val="22"/>
      <w:szCs w:val="22"/>
    </w:rPr>
  </w:style>
  <w:style w:type="character" w:customStyle="1" w:styleId="Heading5Char">
    <w:name w:val="Heading 5 Char"/>
    <w:basedOn w:val="DefaultParagraphFont"/>
    <w:link w:val="Heading5"/>
    <w:rsid w:val="00B1319F"/>
    <w:rPr>
      <w:rFonts w:ascii="Cambria" w:eastAsia="Times New Roman" w:hAnsi="Cambria"/>
      <w:color w:val="243F60"/>
      <w:sz w:val="22"/>
      <w:szCs w:val="22"/>
    </w:rPr>
  </w:style>
  <w:style w:type="character" w:customStyle="1" w:styleId="Heading6Char">
    <w:name w:val="Heading 6 Char"/>
    <w:basedOn w:val="DefaultParagraphFont"/>
    <w:link w:val="Heading6"/>
    <w:rsid w:val="00B1319F"/>
    <w:rPr>
      <w:rFonts w:ascii="Cambria" w:eastAsia="Times New Roman" w:hAnsi="Cambria"/>
      <w:i/>
      <w:iCs/>
      <w:color w:val="243F60"/>
      <w:sz w:val="22"/>
      <w:szCs w:val="22"/>
    </w:rPr>
  </w:style>
  <w:style w:type="character" w:customStyle="1" w:styleId="Heading7Char">
    <w:name w:val="Heading 7 Char"/>
    <w:basedOn w:val="DefaultParagraphFont"/>
    <w:link w:val="Heading7"/>
    <w:rsid w:val="00B1319F"/>
    <w:rPr>
      <w:rFonts w:ascii="Cambria" w:eastAsia="Times New Roman" w:hAnsi="Cambria"/>
      <w:i/>
      <w:iCs/>
      <w:color w:val="404040"/>
      <w:sz w:val="22"/>
      <w:szCs w:val="22"/>
    </w:rPr>
  </w:style>
  <w:style w:type="character" w:customStyle="1" w:styleId="Heading8Char">
    <w:name w:val="Heading 8 Char"/>
    <w:basedOn w:val="DefaultParagraphFont"/>
    <w:link w:val="Heading8"/>
    <w:rsid w:val="00B1319F"/>
    <w:rPr>
      <w:rFonts w:ascii="Cambria" w:eastAsia="Times New Roman" w:hAnsi="Cambria"/>
      <w:color w:val="404040"/>
    </w:rPr>
  </w:style>
  <w:style w:type="character" w:customStyle="1" w:styleId="Heading9Char">
    <w:name w:val="Heading 9 Char"/>
    <w:basedOn w:val="DefaultParagraphFont"/>
    <w:link w:val="Heading9"/>
    <w:rsid w:val="00B1319F"/>
    <w:rPr>
      <w:rFonts w:ascii="Cambria" w:eastAsia="Times New Roman" w:hAnsi="Cambria"/>
      <w:i/>
      <w:iCs/>
      <w:color w:val="404040"/>
    </w:rPr>
  </w:style>
  <w:style w:type="paragraph" w:styleId="Caption">
    <w:name w:val="caption"/>
    <w:basedOn w:val="Normal"/>
    <w:next w:val="Normal"/>
    <w:uiPriority w:val="35"/>
    <w:qFormat/>
    <w:rsid w:val="00B1319F"/>
    <w:pPr>
      <w:keepNext/>
      <w:spacing w:after="0" w:line="240" w:lineRule="auto"/>
      <w:jc w:val="center"/>
    </w:pPr>
    <w:rPr>
      <w:b/>
      <w:bCs/>
      <w:color w:val="4F81BD"/>
      <w:sz w:val="18"/>
      <w:szCs w:val="18"/>
      <w:lang w:val="el-GR"/>
    </w:rPr>
  </w:style>
  <w:style w:type="paragraph" w:styleId="Header">
    <w:name w:val="header"/>
    <w:basedOn w:val="Normal"/>
    <w:link w:val="HeaderChar"/>
    <w:uiPriority w:val="99"/>
    <w:semiHidden/>
    <w:unhideWhenUsed/>
    <w:rsid w:val="00A178F2"/>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A178F2"/>
    <w:rPr>
      <w:sz w:val="22"/>
      <w:szCs w:val="22"/>
      <w:lang w:val="en-US" w:eastAsia="en-US"/>
    </w:rPr>
  </w:style>
  <w:style w:type="paragraph" w:styleId="Footer">
    <w:name w:val="footer"/>
    <w:basedOn w:val="Normal"/>
    <w:link w:val="FooterChar"/>
    <w:uiPriority w:val="99"/>
    <w:unhideWhenUsed/>
    <w:rsid w:val="00A178F2"/>
    <w:pPr>
      <w:tabs>
        <w:tab w:val="center" w:pos="4153"/>
        <w:tab w:val="right" w:pos="8306"/>
      </w:tabs>
      <w:spacing w:after="0" w:line="240" w:lineRule="auto"/>
    </w:pPr>
  </w:style>
  <w:style w:type="character" w:customStyle="1" w:styleId="FooterChar">
    <w:name w:val="Footer Char"/>
    <w:basedOn w:val="DefaultParagraphFont"/>
    <w:link w:val="Footer"/>
    <w:uiPriority w:val="99"/>
    <w:rsid w:val="00A178F2"/>
    <w:rPr>
      <w:sz w:val="22"/>
      <w:szCs w:val="22"/>
      <w:lang w:val="en-US" w:eastAsia="en-US"/>
    </w:rPr>
  </w:style>
  <w:style w:type="character" w:styleId="Hyperlink">
    <w:name w:val="Hyperlink"/>
    <w:basedOn w:val="DefaultParagraphFont"/>
    <w:uiPriority w:val="99"/>
    <w:unhideWhenUsed/>
    <w:rsid w:val="008745F0"/>
    <w:rPr>
      <w:color w:val="0000FF"/>
      <w:u w:val="single"/>
    </w:rPr>
  </w:style>
  <w:style w:type="paragraph" w:styleId="FootnoteText">
    <w:name w:val="footnote text"/>
    <w:basedOn w:val="Normal"/>
    <w:link w:val="FootnoteTextChar"/>
    <w:uiPriority w:val="99"/>
    <w:unhideWhenUsed/>
    <w:rsid w:val="004629D0"/>
    <w:rPr>
      <w:sz w:val="20"/>
      <w:szCs w:val="20"/>
    </w:rPr>
  </w:style>
  <w:style w:type="character" w:customStyle="1" w:styleId="FootnoteTextChar">
    <w:name w:val="Footnote Text Char"/>
    <w:basedOn w:val="DefaultParagraphFont"/>
    <w:link w:val="FootnoteText"/>
    <w:uiPriority w:val="99"/>
    <w:rsid w:val="004629D0"/>
    <w:rPr>
      <w:lang w:val="en-US" w:eastAsia="en-US"/>
    </w:rPr>
  </w:style>
  <w:style w:type="character" w:styleId="FootnoteReference">
    <w:name w:val="footnote reference"/>
    <w:basedOn w:val="DefaultParagraphFont"/>
    <w:uiPriority w:val="99"/>
    <w:semiHidden/>
    <w:unhideWhenUsed/>
    <w:rsid w:val="004629D0"/>
    <w:rPr>
      <w:vertAlign w:val="superscript"/>
    </w:rPr>
  </w:style>
  <w:style w:type="paragraph" w:styleId="TOC1">
    <w:name w:val="toc 1"/>
    <w:basedOn w:val="Normal"/>
    <w:next w:val="Normal"/>
    <w:autoRedefine/>
    <w:uiPriority w:val="39"/>
    <w:unhideWhenUsed/>
    <w:rsid w:val="00CD2F3C"/>
    <w:pPr>
      <w:spacing w:after="100"/>
    </w:pPr>
  </w:style>
  <w:style w:type="table" w:customStyle="1" w:styleId="1-11">
    <w:name w:val="Μεσαία σκίαση 1 - ΄Εμφαση 11"/>
    <w:basedOn w:val="TableNormal"/>
    <w:uiPriority w:val="63"/>
    <w:rsid w:val="007C31D5"/>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2-11">
    <w:name w:val="Μεσαία σκίαση 2 - ΄Εμφαση 11"/>
    <w:basedOn w:val="TableNormal"/>
    <w:uiPriority w:val="64"/>
    <w:rsid w:val="00914D7C"/>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1-Accent11">
    <w:name w:val="Medium Shading 1 - Accent 11"/>
    <w:basedOn w:val="TableNormal"/>
    <w:uiPriority w:val="63"/>
    <w:rsid w:val="00304957"/>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Shading-Accent11">
    <w:name w:val="Light Shading - Accent 11"/>
    <w:basedOn w:val="TableNormal"/>
    <w:uiPriority w:val="60"/>
    <w:rsid w:val="000F45E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7959">
      <w:bodyDiv w:val="1"/>
      <w:marLeft w:val="0"/>
      <w:marRight w:val="0"/>
      <w:marTop w:val="0"/>
      <w:marBottom w:val="0"/>
      <w:divBdr>
        <w:top w:val="none" w:sz="0" w:space="0" w:color="auto"/>
        <w:left w:val="none" w:sz="0" w:space="0" w:color="auto"/>
        <w:bottom w:val="none" w:sz="0" w:space="0" w:color="auto"/>
        <w:right w:val="none" w:sz="0" w:space="0" w:color="auto"/>
      </w:divBdr>
    </w:div>
    <w:div w:id="70667784">
      <w:bodyDiv w:val="1"/>
      <w:marLeft w:val="0"/>
      <w:marRight w:val="0"/>
      <w:marTop w:val="0"/>
      <w:marBottom w:val="0"/>
      <w:divBdr>
        <w:top w:val="none" w:sz="0" w:space="0" w:color="auto"/>
        <w:left w:val="none" w:sz="0" w:space="0" w:color="auto"/>
        <w:bottom w:val="none" w:sz="0" w:space="0" w:color="auto"/>
        <w:right w:val="none" w:sz="0" w:space="0" w:color="auto"/>
      </w:divBdr>
    </w:div>
    <w:div w:id="75564248">
      <w:bodyDiv w:val="1"/>
      <w:marLeft w:val="0"/>
      <w:marRight w:val="0"/>
      <w:marTop w:val="0"/>
      <w:marBottom w:val="0"/>
      <w:divBdr>
        <w:top w:val="none" w:sz="0" w:space="0" w:color="auto"/>
        <w:left w:val="none" w:sz="0" w:space="0" w:color="auto"/>
        <w:bottom w:val="none" w:sz="0" w:space="0" w:color="auto"/>
        <w:right w:val="none" w:sz="0" w:space="0" w:color="auto"/>
      </w:divBdr>
    </w:div>
    <w:div w:id="321783966">
      <w:bodyDiv w:val="1"/>
      <w:marLeft w:val="0"/>
      <w:marRight w:val="0"/>
      <w:marTop w:val="0"/>
      <w:marBottom w:val="0"/>
      <w:divBdr>
        <w:top w:val="none" w:sz="0" w:space="0" w:color="auto"/>
        <w:left w:val="none" w:sz="0" w:space="0" w:color="auto"/>
        <w:bottom w:val="none" w:sz="0" w:space="0" w:color="auto"/>
        <w:right w:val="none" w:sz="0" w:space="0" w:color="auto"/>
      </w:divBdr>
    </w:div>
    <w:div w:id="487981638">
      <w:bodyDiv w:val="1"/>
      <w:marLeft w:val="0"/>
      <w:marRight w:val="0"/>
      <w:marTop w:val="0"/>
      <w:marBottom w:val="0"/>
      <w:divBdr>
        <w:top w:val="none" w:sz="0" w:space="0" w:color="auto"/>
        <w:left w:val="none" w:sz="0" w:space="0" w:color="auto"/>
        <w:bottom w:val="none" w:sz="0" w:space="0" w:color="auto"/>
        <w:right w:val="none" w:sz="0" w:space="0" w:color="auto"/>
      </w:divBdr>
    </w:div>
    <w:div w:id="612447397">
      <w:bodyDiv w:val="1"/>
      <w:marLeft w:val="0"/>
      <w:marRight w:val="0"/>
      <w:marTop w:val="0"/>
      <w:marBottom w:val="0"/>
      <w:divBdr>
        <w:top w:val="none" w:sz="0" w:space="0" w:color="auto"/>
        <w:left w:val="none" w:sz="0" w:space="0" w:color="auto"/>
        <w:bottom w:val="none" w:sz="0" w:space="0" w:color="auto"/>
        <w:right w:val="none" w:sz="0" w:space="0" w:color="auto"/>
      </w:divBdr>
    </w:div>
    <w:div w:id="810681902">
      <w:bodyDiv w:val="1"/>
      <w:marLeft w:val="0"/>
      <w:marRight w:val="0"/>
      <w:marTop w:val="0"/>
      <w:marBottom w:val="0"/>
      <w:divBdr>
        <w:top w:val="none" w:sz="0" w:space="0" w:color="auto"/>
        <w:left w:val="none" w:sz="0" w:space="0" w:color="auto"/>
        <w:bottom w:val="none" w:sz="0" w:space="0" w:color="auto"/>
        <w:right w:val="none" w:sz="0" w:space="0" w:color="auto"/>
      </w:divBdr>
    </w:div>
    <w:div w:id="911700019">
      <w:bodyDiv w:val="1"/>
      <w:marLeft w:val="0"/>
      <w:marRight w:val="0"/>
      <w:marTop w:val="0"/>
      <w:marBottom w:val="0"/>
      <w:divBdr>
        <w:top w:val="none" w:sz="0" w:space="0" w:color="auto"/>
        <w:left w:val="none" w:sz="0" w:space="0" w:color="auto"/>
        <w:bottom w:val="none" w:sz="0" w:space="0" w:color="auto"/>
        <w:right w:val="none" w:sz="0" w:space="0" w:color="auto"/>
      </w:divBdr>
    </w:div>
    <w:div w:id="1118723089">
      <w:bodyDiv w:val="1"/>
      <w:marLeft w:val="0"/>
      <w:marRight w:val="0"/>
      <w:marTop w:val="0"/>
      <w:marBottom w:val="0"/>
      <w:divBdr>
        <w:top w:val="none" w:sz="0" w:space="0" w:color="auto"/>
        <w:left w:val="none" w:sz="0" w:space="0" w:color="auto"/>
        <w:bottom w:val="none" w:sz="0" w:space="0" w:color="auto"/>
        <w:right w:val="none" w:sz="0" w:space="0" w:color="auto"/>
      </w:divBdr>
    </w:div>
    <w:div w:id="1153908843">
      <w:bodyDiv w:val="1"/>
      <w:marLeft w:val="0"/>
      <w:marRight w:val="0"/>
      <w:marTop w:val="0"/>
      <w:marBottom w:val="0"/>
      <w:divBdr>
        <w:top w:val="none" w:sz="0" w:space="0" w:color="auto"/>
        <w:left w:val="none" w:sz="0" w:space="0" w:color="auto"/>
        <w:bottom w:val="none" w:sz="0" w:space="0" w:color="auto"/>
        <w:right w:val="none" w:sz="0" w:space="0" w:color="auto"/>
      </w:divBdr>
    </w:div>
    <w:div w:id="1177504194">
      <w:bodyDiv w:val="1"/>
      <w:marLeft w:val="0"/>
      <w:marRight w:val="0"/>
      <w:marTop w:val="0"/>
      <w:marBottom w:val="0"/>
      <w:divBdr>
        <w:top w:val="none" w:sz="0" w:space="0" w:color="auto"/>
        <w:left w:val="none" w:sz="0" w:space="0" w:color="auto"/>
        <w:bottom w:val="none" w:sz="0" w:space="0" w:color="auto"/>
        <w:right w:val="none" w:sz="0" w:space="0" w:color="auto"/>
      </w:divBdr>
    </w:div>
    <w:div w:id="1986011269">
      <w:bodyDiv w:val="1"/>
      <w:marLeft w:val="0"/>
      <w:marRight w:val="0"/>
      <w:marTop w:val="0"/>
      <w:marBottom w:val="0"/>
      <w:divBdr>
        <w:top w:val="none" w:sz="0" w:space="0" w:color="auto"/>
        <w:left w:val="none" w:sz="0" w:space="0" w:color="auto"/>
        <w:bottom w:val="none" w:sz="0" w:space="0" w:color="auto"/>
        <w:right w:val="none" w:sz="0" w:space="0" w:color="auto"/>
      </w:divBdr>
    </w:div>
    <w:div w:id="19900879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oleObject" Target="file:///I:\&#921;&#917;&#923;&#922;&#913;\&#904;&#961;&#949;&#965;&#957;&#945;_&#931;&#964;&#949;&#955;&#949;&#967;&#974;&#957;_7_2017\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I:\&#921;&#917;&#923;&#922;&#913;\&#904;&#961;&#949;&#965;&#957;&#945;_&#931;&#964;&#949;&#955;&#949;&#967;&#974;&#957;_7_2017\Book1.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I:\&#921;&#917;&#923;&#922;&#913;\&#904;&#961;&#949;&#965;&#957;&#945;_&#931;&#964;&#949;&#955;&#949;&#967;&#974;&#957;_7_2017\Book1.xlsx" TargetMode="External"/><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1" Type="http://schemas.openxmlformats.org/officeDocument/2006/relationships/oleObject" Target="file:///I:\&#921;&#917;&#923;&#922;&#913;\&#904;&#961;&#949;&#965;&#957;&#945;_&#931;&#964;&#949;&#955;&#949;&#967;&#974;&#957;_7_2017\Book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I:\&#921;&#917;&#923;&#922;&#913;\&#904;&#961;&#949;&#965;&#957;&#945;_&#931;&#964;&#949;&#955;&#949;&#967;&#974;&#957;_7_2017\Book1.xlsx"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file:///I:\&#921;&#917;&#923;&#922;&#913;\&#904;&#961;&#949;&#965;&#957;&#945;%20&#931;&#964;&#949;&#955;&#949;&#967;&#974;&#957;%202021\2%20202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l-GR"/>
              <a:t>Με βάση τη σημερινή εικόνα θεωρείτε ότι το 2022 το οικονομικό αποτέλεσμα (κέρδη/ζημιές) της επιχείρησης σας:</a:t>
            </a:r>
          </a:p>
        </c:rich>
      </c:tx>
      <c:overlay val="0"/>
    </c:title>
    <c:autoTitleDeleted val="0"/>
    <c:plotArea>
      <c:layout/>
      <c:pieChart>
        <c:varyColors val="1"/>
        <c:ser>
          <c:idx val="0"/>
          <c:order val="0"/>
          <c:tx>
            <c:strRef>
              <c:f>Sheet17!$B$76</c:f>
              <c:strCache>
                <c:ptCount val="1"/>
                <c:pt idx="0">
                  <c:v>Με βάση τη σημερινή εικόνα θεωρείτε ότι το 2022 το οικονομικό αποτέλεσμα (κέρδη/ζημιές) της επιχείρησης σας:</c:v>
                </c:pt>
              </c:strCache>
            </c:strRef>
          </c:tx>
          <c:spPr>
            <a:solidFill>
              <a:schemeClr val="accent2"/>
            </a:solidFill>
          </c:spPr>
          <c:dPt>
            <c:idx val="0"/>
            <c:bubble3D val="0"/>
            <c:extLst>
              <c:ext xmlns:c16="http://schemas.microsoft.com/office/drawing/2014/chart" uri="{C3380CC4-5D6E-409C-BE32-E72D297353CC}">
                <c16:uniqueId val="{00000000-2353-4B18-AA7F-D7E4208FB6D9}"/>
              </c:ext>
            </c:extLst>
          </c:dPt>
          <c:dPt>
            <c:idx val="1"/>
            <c:bubble3D val="0"/>
            <c:spPr>
              <a:solidFill>
                <a:schemeClr val="bg1">
                  <a:lumMod val="65000"/>
                </a:schemeClr>
              </a:solidFill>
            </c:spPr>
            <c:extLst>
              <c:ext xmlns:c16="http://schemas.microsoft.com/office/drawing/2014/chart" uri="{C3380CC4-5D6E-409C-BE32-E72D297353CC}">
                <c16:uniqueId val="{00000002-2353-4B18-AA7F-D7E4208FB6D9}"/>
              </c:ext>
            </c:extLst>
          </c:dPt>
          <c:dPt>
            <c:idx val="2"/>
            <c:bubble3D val="0"/>
            <c:spPr>
              <a:solidFill>
                <a:schemeClr val="accent1"/>
              </a:solidFill>
            </c:spPr>
            <c:extLst>
              <c:ext xmlns:c16="http://schemas.microsoft.com/office/drawing/2014/chart" uri="{C3380CC4-5D6E-409C-BE32-E72D297353CC}">
                <c16:uniqueId val="{00000004-2353-4B18-AA7F-D7E4208FB6D9}"/>
              </c:ext>
            </c:extLst>
          </c:dPt>
          <c:dPt>
            <c:idx val="3"/>
            <c:bubble3D val="0"/>
            <c:spPr>
              <a:solidFill>
                <a:schemeClr val="accent4"/>
              </a:solidFill>
            </c:spPr>
            <c:extLst>
              <c:ext xmlns:c16="http://schemas.microsoft.com/office/drawing/2014/chart" uri="{C3380CC4-5D6E-409C-BE32-E72D297353CC}">
                <c16:uniqueId val="{00000006-2353-4B18-AA7F-D7E4208FB6D9}"/>
              </c:ext>
            </c:extLst>
          </c:dPt>
          <c:dLbls>
            <c:spPr>
              <a:noFill/>
              <a:ln>
                <a:noFill/>
              </a:ln>
              <a:effectLst/>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Sheet17!$A$77:$A$80</c:f>
              <c:strCache>
                <c:ptCount val="4"/>
                <c:pt idx="0">
                  <c:v>Θα είναι χειρότερο από το 2021</c:v>
                </c:pt>
                <c:pt idx="1">
                  <c:v>Θα είναι αμετάβλητο</c:v>
                </c:pt>
                <c:pt idx="2">
                  <c:v>Θα είναι καλύτερο από το 2021</c:v>
                </c:pt>
                <c:pt idx="3">
                  <c:v>Δύσκολο να προβλέψω</c:v>
                </c:pt>
              </c:strCache>
            </c:strRef>
          </c:cat>
          <c:val>
            <c:numRef>
              <c:f>Sheet17!$B$77:$B$80</c:f>
              <c:numCache>
                <c:formatCode>0%</c:formatCode>
                <c:ptCount val="4"/>
                <c:pt idx="0">
                  <c:v>0.56299999999999994</c:v>
                </c:pt>
                <c:pt idx="1">
                  <c:v>0.126</c:v>
                </c:pt>
                <c:pt idx="2">
                  <c:v>0.11</c:v>
                </c:pt>
                <c:pt idx="3">
                  <c:v>0.2</c:v>
                </c:pt>
              </c:numCache>
            </c:numRef>
          </c:val>
          <c:extLst>
            <c:ext xmlns:c16="http://schemas.microsoft.com/office/drawing/2014/chart" uri="{C3380CC4-5D6E-409C-BE32-E72D297353CC}">
              <c16:uniqueId val="{00000007-2353-4B18-AA7F-D7E4208FB6D9}"/>
            </c:ext>
          </c:extLst>
        </c:ser>
        <c:dLbls>
          <c:showLegendKey val="0"/>
          <c:showVal val="1"/>
          <c:showCatName val="0"/>
          <c:showSerName val="0"/>
          <c:showPercent val="0"/>
          <c:showBubbleSize val="0"/>
          <c:showLeaderLines val="1"/>
        </c:dLbls>
        <c:firstSliceAng val="0"/>
      </c:pieChart>
    </c:plotArea>
    <c:legend>
      <c:legendPos val="r"/>
      <c:layout>
        <c:manualLayout>
          <c:xMode val="edge"/>
          <c:yMode val="edge"/>
          <c:x val="0.60405635616302678"/>
          <c:y val="0.36323004058543196"/>
          <c:w val="0.37707571930867134"/>
          <c:h val="0.59578471306615199"/>
        </c:manualLayout>
      </c:layout>
      <c:overlay val="0"/>
    </c:legend>
    <c:plotVisOnly val="1"/>
    <c:dispBlanksAs val="gap"/>
    <c:showDLblsOverMax val="0"/>
  </c:chart>
  <c:txPr>
    <a:bodyPr/>
    <a:lstStyle/>
    <a:p>
      <a:pPr>
        <a:defRPr sz="1000">
          <a:latin typeface="Arial Narrow" pitchFamily="34" charset="0"/>
        </a:defRPr>
      </a:pPr>
      <a:endParaRPr lang="el-G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l-GR"/>
              <a:t>Με βάση τη σημερινή εικόνα θεωρείτε ότι το 2022 το οικονομικό αποτέλεσμα (κέρδη/ζημιές) της επιχείρησης σας θα είναι:</a:t>
            </a:r>
            <a:endParaRPr lang="en-US"/>
          </a:p>
        </c:rich>
      </c:tx>
      <c:overlay val="0"/>
    </c:title>
    <c:autoTitleDeleted val="0"/>
    <c:plotArea>
      <c:layout/>
      <c:pieChart>
        <c:varyColors val="1"/>
        <c:ser>
          <c:idx val="0"/>
          <c:order val="0"/>
          <c:tx>
            <c:strRef>
              <c:f>Sheet17!$B$82</c:f>
              <c:strCache>
                <c:ptCount val="1"/>
                <c:pt idx="0">
                  <c:v>Με βάση τη σημερινή εικόνα θεωρείτε ότι το 2022 το οικονομικό αποτέλεσμα (κέρδη/ζημιές) της επιχείρησης σας θα είναι:</c:v>
                </c:pt>
              </c:strCache>
            </c:strRef>
          </c:tx>
          <c:dPt>
            <c:idx val="0"/>
            <c:bubble3D val="0"/>
            <c:spPr>
              <a:solidFill>
                <a:schemeClr val="accent2"/>
              </a:solidFill>
            </c:spPr>
            <c:extLst>
              <c:ext xmlns:c16="http://schemas.microsoft.com/office/drawing/2014/chart" uri="{C3380CC4-5D6E-409C-BE32-E72D297353CC}">
                <c16:uniqueId val="{00000001-6CFB-4D80-AC07-1A1446708F8B}"/>
              </c:ext>
            </c:extLst>
          </c:dPt>
          <c:dPt>
            <c:idx val="1"/>
            <c:bubble3D val="0"/>
            <c:spPr>
              <a:solidFill>
                <a:schemeClr val="accent2">
                  <a:lumMod val="60000"/>
                  <a:lumOff val="40000"/>
                </a:schemeClr>
              </a:solidFill>
            </c:spPr>
            <c:extLst>
              <c:ext xmlns:c16="http://schemas.microsoft.com/office/drawing/2014/chart" uri="{C3380CC4-5D6E-409C-BE32-E72D297353CC}">
                <c16:uniqueId val="{00000003-6CFB-4D80-AC07-1A1446708F8B}"/>
              </c:ext>
            </c:extLst>
          </c:dPt>
          <c:dPt>
            <c:idx val="2"/>
            <c:bubble3D val="0"/>
            <c:spPr>
              <a:solidFill>
                <a:schemeClr val="bg1">
                  <a:lumMod val="75000"/>
                </a:schemeClr>
              </a:solidFill>
            </c:spPr>
            <c:extLst>
              <c:ext xmlns:c16="http://schemas.microsoft.com/office/drawing/2014/chart" uri="{C3380CC4-5D6E-409C-BE32-E72D297353CC}">
                <c16:uniqueId val="{00000005-6CFB-4D80-AC07-1A1446708F8B}"/>
              </c:ext>
            </c:extLst>
          </c:dPt>
          <c:dPt>
            <c:idx val="3"/>
            <c:bubble3D val="0"/>
            <c:spPr>
              <a:solidFill>
                <a:schemeClr val="accent1">
                  <a:lumMod val="40000"/>
                  <a:lumOff val="60000"/>
                </a:schemeClr>
              </a:solidFill>
            </c:spPr>
            <c:extLst>
              <c:ext xmlns:c16="http://schemas.microsoft.com/office/drawing/2014/chart" uri="{C3380CC4-5D6E-409C-BE32-E72D297353CC}">
                <c16:uniqueId val="{00000007-6CFB-4D80-AC07-1A1446708F8B}"/>
              </c:ext>
            </c:extLst>
          </c:dPt>
          <c:dPt>
            <c:idx val="4"/>
            <c:bubble3D val="0"/>
            <c:spPr>
              <a:solidFill>
                <a:schemeClr val="accent1"/>
              </a:solidFill>
            </c:spPr>
            <c:extLst>
              <c:ext xmlns:c16="http://schemas.microsoft.com/office/drawing/2014/chart" uri="{C3380CC4-5D6E-409C-BE32-E72D297353CC}">
                <c16:uniqueId val="{00000009-6CFB-4D80-AC07-1A1446708F8B}"/>
              </c:ext>
            </c:extLst>
          </c:dPt>
          <c:dPt>
            <c:idx val="5"/>
            <c:bubble3D val="0"/>
            <c:spPr>
              <a:solidFill>
                <a:schemeClr val="accent2">
                  <a:lumMod val="40000"/>
                  <a:lumOff val="60000"/>
                </a:schemeClr>
              </a:solidFill>
            </c:spPr>
            <c:extLst>
              <c:ext xmlns:c16="http://schemas.microsoft.com/office/drawing/2014/chart" uri="{C3380CC4-5D6E-409C-BE32-E72D297353CC}">
                <c16:uniqueId val="{0000000B-6CFB-4D80-AC07-1A1446708F8B}"/>
              </c:ext>
            </c:extLst>
          </c:dPt>
          <c:dPt>
            <c:idx val="6"/>
            <c:bubble3D val="0"/>
            <c:spPr>
              <a:solidFill>
                <a:schemeClr val="accent2">
                  <a:lumMod val="60000"/>
                  <a:lumOff val="40000"/>
                </a:schemeClr>
              </a:solidFill>
            </c:spPr>
            <c:extLst>
              <c:ext xmlns:c16="http://schemas.microsoft.com/office/drawing/2014/chart" uri="{C3380CC4-5D6E-409C-BE32-E72D297353CC}">
                <c16:uniqueId val="{0000000D-6CFB-4D80-AC07-1A1446708F8B}"/>
              </c:ext>
            </c:extLst>
          </c:dPt>
          <c:dPt>
            <c:idx val="7"/>
            <c:bubble3D val="0"/>
            <c:spPr>
              <a:solidFill>
                <a:schemeClr val="accent2"/>
              </a:solidFill>
            </c:spPr>
            <c:extLst>
              <c:ext xmlns:c16="http://schemas.microsoft.com/office/drawing/2014/chart" uri="{C3380CC4-5D6E-409C-BE32-E72D297353CC}">
                <c16:uniqueId val="{0000000F-6CFB-4D80-AC07-1A1446708F8B}"/>
              </c:ext>
            </c:extLst>
          </c:dPt>
          <c:dPt>
            <c:idx val="8"/>
            <c:bubble3D val="0"/>
            <c:spPr>
              <a:solidFill>
                <a:schemeClr val="accent2">
                  <a:lumMod val="75000"/>
                </a:schemeClr>
              </a:solidFill>
            </c:spPr>
            <c:extLst>
              <c:ext xmlns:c16="http://schemas.microsoft.com/office/drawing/2014/chart" uri="{C3380CC4-5D6E-409C-BE32-E72D297353CC}">
                <c16:uniqueId val="{00000011-6CFB-4D80-AC07-1A1446708F8B}"/>
              </c:ext>
            </c:extLst>
          </c:dPt>
          <c:dPt>
            <c:idx val="9"/>
            <c:bubble3D val="0"/>
            <c:spPr>
              <a:solidFill>
                <a:schemeClr val="accent2">
                  <a:lumMod val="50000"/>
                </a:schemeClr>
              </a:solidFill>
            </c:spPr>
            <c:extLst>
              <c:ext xmlns:c16="http://schemas.microsoft.com/office/drawing/2014/chart" uri="{C3380CC4-5D6E-409C-BE32-E72D297353CC}">
                <c16:uniqueId val="{00000013-6CFB-4D80-AC07-1A1446708F8B}"/>
              </c:ext>
            </c:extLst>
          </c:dPt>
          <c:dLbls>
            <c:spPr>
              <a:noFill/>
              <a:ln>
                <a:noFill/>
              </a:ln>
              <a:effectLst/>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Sheet17!$A$83:$A$87</c:f>
              <c:strCache>
                <c:ptCount val="5"/>
                <c:pt idx="0">
                  <c:v>Ζημιές άνω του 2%</c:v>
                </c:pt>
                <c:pt idx="1">
                  <c:v>Ζημιές έως 2%</c:v>
                </c:pt>
                <c:pt idx="2">
                  <c:v>Ούτε κέρδη, ούτε ζημιές</c:v>
                </c:pt>
                <c:pt idx="3">
                  <c:v>Κέρδη έως 2%</c:v>
                </c:pt>
                <c:pt idx="4">
                  <c:v>Κέρδη άνω του 2%</c:v>
                </c:pt>
              </c:strCache>
            </c:strRef>
          </c:cat>
          <c:val>
            <c:numRef>
              <c:f>Sheet17!$B$83:$B$87</c:f>
              <c:numCache>
                <c:formatCode>0%</c:formatCode>
                <c:ptCount val="5"/>
                <c:pt idx="0">
                  <c:v>0.122</c:v>
                </c:pt>
                <c:pt idx="1">
                  <c:v>0.107</c:v>
                </c:pt>
                <c:pt idx="2">
                  <c:v>0.28199999999999997</c:v>
                </c:pt>
                <c:pt idx="3">
                  <c:v>0.252</c:v>
                </c:pt>
                <c:pt idx="4">
                  <c:v>0.23699999999999999</c:v>
                </c:pt>
              </c:numCache>
            </c:numRef>
          </c:val>
          <c:extLst>
            <c:ext xmlns:c16="http://schemas.microsoft.com/office/drawing/2014/chart" uri="{C3380CC4-5D6E-409C-BE32-E72D297353CC}">
              <c16:uniqueId val="{00000014-6CFB-4D80-AC07-1A1446708F8B}"/>
            </c:ext>
          </c:extLst>
        </c:ser>
        <c:dLbls>
          <c:showLegendKey val="0"/>
          <c:showVal val="1"/>
          <c:showCatName val="0"/>
          <c:showSerName val="0"/>
          <c:showPercent val="0"/>
          <c:showBubbleSize val="0"/>
          <c:showLeaderLines val="1"/>
        </c:dLbls>
        <c:firstSliceAng val="0"/>
      </c:pieChart>
    </c:plotArea>
    <c:legend>
      <c:legendPos val="r"/>
      <c:layout>
        <c:manualLayout>
          <c:xMode val="edge"/>
          <c:yMode val="edge"/>
          <c:x val="0.63836477987421381"/>
          <c:y val="0.3770429351148693"/>
          <c:w val="0.34276729559748426"/>
          <c:h val="0.60931888658912969"/>
        </c:manualLayout>
      </c:layout>
      <c:overlay val="0"/>
    </c:legend>
    <c:plotVisOnly val="1"/>
    <c:dispBlanksAs val="gap"/>
    <c:showDLblsOverMax val="0"/>
  </c:chart>
  <c:txPr>
    <a:bodyPr/>
    <a:lstStyle/>
    <a:p>
      <a:pPr>
        <a:defRPr sz="1000">
          <a:latin typeface="Arial Narrow" pitchFamily="34" charset="0"/>
        </a:defRPr>
      </a:pPr>
      <a:endParaRPr lang="el-G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0" i="0" u="none" strike="noStrike" kern="1200" spc="0" baseline="0">
                <a:solidFill>
                  <a:schemeClr val="tx1"/>
                </a:solidFill>
                <a:latin typeface="Arial Narrow" panose="020B0606020202030204" pitchFamily="34" charset="0"/>
                <a:ea typeface="+mn-ea"/>
                <a:cs typeface="+mn-cs"/>
              </a:defRPr>
            </a:pPr>
            <a:r>
              <a:rPr lang="el-GR" sz="1260" b="0" i="0" u="none" strike="noStrike" baseline="0" dirty="0">
                <a:effectLst/>
              </a:rPr>
              <a:t>Πόσο πιστεύετε ότι επηρεάζουν αυξητικά τις τιμές το 2022 οι παρακάτω παράγοντες;</a:t>
            </a:r>
            <a:endParaRPr lang="en-US" dirty="0"/>
          </a:p>
        </c:rich>
      </c:tx>
      <c:overlay val="0"/>
      <c:spPr>
        <a:noFill/>
        <a:ln>
          <a:noFill/>
        </a:ln>
        <a:effectLst/>
      </c:spPr>
      <c:txPr>
        <a:bodyPr rot="0" spcFirstLastPara="1" vertOverflow="ellipsis" vert="horz" wrap="square" anchor="ctr" anchorCtr="1"/>
        <a:lstStyle/>
        <a:p>
          <a:pPr>
            <a:defRPr sz="1260" b="0" i="0" u="none" strike="noStrike" kern="1200" spc="0" baseline="0">
              <a:solidFill>
                <a:schemeClr val="tx1"/>
              </a:solidFill>
              <a:latin typeface="Arial Narrow" panose="020B0606020202030204" pitchFamily="34" charset="0"/>
              <a:ea typeface="+mn-ea"/>
              <a:cs typeface="+mn-cs"/>
            </a:defRPr>
          </a:pPr>
          <a:endParaRPr lang="el-GR"/>
        </a:p>
      </c:txPr>
    </c:title>
    <c:autoTitleDeleted val="0"/>
    <c:plotArea>
      <c:layout/>
      <c:barChart>
        <c:barDir val="bar"/>
        <c:grouping val="percentStacked"/>
        <c:varyColors val="0"/>
        <c:ser>
          <c:idx val="0"/>
          <c:order val="0"/>
          <c:tx>
            <c:strRef>
              <c:f>Sheet17!$B$37</c:f>
              <c:strCache>
                <c:ptCount val="1"/>
                <c:pt idx="0">
                  <c:v>Καθόλου</c:v>
                </c:pt>
              </c:strCache>
            </c:strRef>
          </c:tx>
          <c:spPr>
            <a:solidFill>
              <a:schemeClr val="bg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Arial Narrow" panose="020B0606020202030204" pitchFamily="34" charset="0"/>
                    <a:ea typeface="+mn-ea"/>
                    <a:cs typeface="+mn-cs"/>
                  </a:defRPr>
                </a:pPr>
                <a:endParaRPr lang="el-G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Sheet17!$A$38:$A$48</c:f>
              <c:strCache>
                <c:ptCount val="9"/>
                <c:pt idx="0">
                  <c:v>Το εργασιακό κόστος</c:v>
                </c:pt>
                <c:pt idx="1">
                  <c:v>Το κόστος χρήματος (π.χ. δανεισμού)</c:v>
                </c:pt>
                <c:pt idx="2">
                  <c:v>Τα κόστη της πανδημίας</c:v>
                </c:pt>
                <c:pt idx="3">
                  <c:v>Οι έμμεσοι φόροι (π.χ. ΦΠΑ)</c:v>
                </c:pt>
                <c:pt idx="4">
                  <c:v>Η νομισματική πολιτική στην Ευρωπαϊκή Ένωση</c:v>
                </c:pt>
                <c:pt idx="5">
                  <c:v>Ο πόλεμος στην Ουκρανία</c:v>
                </c:pt>
                <c:pt idx="6">
                  <c:v>Τα κόστη μεταφορών</c:v>
                </c:pt>
                <c:pt idx="7">
                  <c:v>Οι διεθνείς τιμές των πρώτων υλών</c:v>
                </c:pt>
                <c:pt idx="8">
                  <c:v>Το κόστος ενέργειας</c:v>
                </c:pt>
              </c:strCache>
              <c:extLst/>
            </c:strRef>
          </c:cat>
          <c:val>
            <c:numRef>
              <c:f>Sheet17!$B$38:$B$48</c:f>
              <c:numCache>
                <c:formatCode>0%</c:formatCode>
                <c:ptCount val="9"/>
                <c:pt idx="0">
                  <c:v>0.12408759124087591</c:v>
                </c:pt>
                <c:pt idx="1">
                  <c:v>0.13138686131386862</c:v>
                </c:pt>
                <c:pt idx="2">
                  <c:v>0.145985401459854</c:v>
                </c:pt>
                <c:pt idx="3">
                  <c:v>0.17518248175182483</c:v>
                </c:pt>
                <c:pt idx="4">
                  <c:v>0.145985401459854</c:v>
                </c:pt>
                <c:pt idx="5">
                  <c:v>0</c:v>
                </c:pt>
                <c:pt idx="6">
                  <c:v>0</c:v>
                </c:pt>
                <c:pt idx="7">
                  <c:v>0</c:v>
                </c:pt>
                <c:pt idx="8">
                  <c:v>0</c:v>
                </c:pt>
              </c:numCache>
              <c:extLst/>
            </c:numRef>
          </c:val>
          <c:extLst>
            <c:ext xmlns:c16="http://schemas.microsoft.com/office/drawing/2014/chart" uri="{C3380CC4-5D6E-409C-BE32-E72D297353CC}">
              <c16:uniqueId val="{00000000-FA49-4EA5-A0F9-925124BD161C}"/>
            </c:ext>
          </c:extLst>
        </c:ser>
        <c:ser>
          <c:idx val="1"/>
          <c:order val="1"/>
          <c:tx>
            <c:strRef>
              <c:f>Sheet17!$C$37</c:f>
              <c:strCache>
                <c:ptCount val="1"/>
                <c:pt idx="0">
                  <c:v>Λίγο</c:v>
                </c:pt>
              </c:strCache>
            </c:strRef>
          </c:tx>
          <c:spPr>
            <a:solidFill>
              <a:schemeClr val="accent2">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Arial Narrow" panose="020B0606020202030204" pitchFamily="34" charset="0"/>
                    <a:ea typeface="+mn-ea"/>
                    <a:cs typeface="+mn-cs"/>
                  </a:defRPr>
                </a:pPr>
                <a:endParaRPr lang="el-G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Sheet17!$A$38:$A$48</c:f>
              <c:strCache>
                <c:ptCount val="9"/>
                <c:pt idx="0">
                  <c:v>Το εργασιακό κόστος</c:v>
                </c:pt>
                <c:pt idx="1">
                  <c:v>Το κόστος χρήματος (π.χ. δανεισμού)</c:v>
                </c:pt>
                <c:pt idx="2">
                  <c:v>Τα κόστη της πανδημίας</c:v>
                </c:pt>
                <c:pt idx="3">
                  <c:v>Οι έμμεσοι φόροι (π.χ. ΦΠΑ)</c:v>
                </c:pt>
                <c:pt idx="4">
                  <c:v>Η νομισματική πολιτική στην Ευρωπαϊκή Ένωση</c:v>
                </c:pt>
                <c:pt idx="5">
                  <c:v>Ο πόλεμος στην Ουκρανία</c:v>
                </c:pt>
                <c:pt idx="6">
                  <c:v>Τα κόστη μεταφορών</c:v>
                </c:pt>
                <c:pt idx="7">
                  <c:v>Οι διεθνείς τιμές των πρώτων υλών</c:v>
                </c:pt>
                <c:pt idx="8">
                  <c:v>Το κόστος ενέργειας</c:v>
                </c:pt>
              </c:strCache>
              <c:extLst/>
            </c:strRef>
          </c:cat>
          <c:val>
            <c:numRef>
              <c:f>Sheet17!$C$38:$C$48</c:f>
              <c:numCache>
                <c:formatCode>0%</c:formatCode>
                <c:ptCount val="9"/>
                <c:pt idx="0">
                  <c:v>0.54014598540145986</c:v>
                </c:pt>
                <c:pt idx="1">
                  <c:v>0.61313868613138689</c:v>
                </c:pt>
                <c:pt idx="2">
                  <c:v>0.56934306569343063</c:v>
                </c:pt>
                <c:pt idx="3">
                  <c:v>0.43065693430656932</c:v>
                </c:pt>
                <c:pt idx="4">
                  <c:v>0.52554744525547448</c:v>
                </c:pt>
                <c:pt idx="5">
                  <c:v>0.12408759124087591</c:v>
                </c:pt>
                <c:pt idx="6">
                  <c:v>4.3795620437956206E-2</c:v>
                </c:pt>
                <c:pt idx="7">
                  <c:v>2.9197080291970802E-2</c:v>
                </c:pt>
                <c:pt idx="8">
                  <c:v>7.2992700729927005E-3</c:v>
                </c:pt>
              </c:numCache>
              <c:extLst/>
            </c:numRef>
          </c:val>
          <c:extLst>
            <c:ext xmlns:c16="http://schemas.microsoft.com/office/drawing/2014/chart" uri="{C3380CC4-5D6E-409C-BE32-E72D297353CC}">
              <c16:uniqueId val="{00000001-FA49-4EA5-A0F9-925124BD161C}"/>
            </c:ext>
          </c:extLst>
        </c:ser>
        <c:ser>
          <c:idx val="2"/>
          <c:order val="2"/>
          <c:tx>
            <c:strRef>
              <c:f>Sheet17!$D$37</c:f>
              <c:strCache>
                <c:ptCount val="1"/>
                <c:pt idx="0">
                  <c:v>Πολύ</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Arial Narrow" panose="020B0606020202030204" pitchFamily="34" charset="0"/>
                    <a:ea typeface="+mn-ea"/>
                    <a:cs typeface="+mn-cs"/>
                  </a:defRPr>
                </a:pPr>
                <a:endParaRPr lang="el-G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Sheet17!$A$38:$A$48</c:f>
              <c:strCache>
                <c:ptCount val="9"/>
                <c:pt idx="0">
                  <c:v>Το εργασιακό κόστος</c:v>
                </c:pt>
                <c:pt idx="1">
                  <c:v>Το κόστος χρήματος (π.χ. δανεισμού)</c:v>
                </c:pt>
                <c:pt idx="2">
                  <c:v>Τα κόστη της πανδημίας</c:v>
                </c:pt>
                <c:pt idx="3">
                  <c:v>Οι έμμεσοι φόροι (π.χ. ΦΠΑ)</c:v>
                </c:pt>
                <c:pt idx="4">
                  <c:v>Η νομισματική πολιτική στην Ευρωπαϊκή Ένωση</c:v>
                </c:pt>
                <c:pt idx="5">
                  <c:v>Ο πόλεμος στην Ουκρανία</c:v>
                </c:pt>
                <c:pt idx="6">
                  <c:v>Τα κόστη μεταφορών</c:v>
                </c:pt>
                <c:pt idx="7">
                  <c:v>Οι διεθνείς τιμές των πρώτων υλών</c:v>
                </c:pt>
                <c:pt idx="8">
                  <c:v>Το κόστος ενέργειας</c:v>
                </c:pt>
              </c:strCache>
              <c:extLst/>
            </c:strRef>
          </c:cat>
          <c:val>
            <c:numRef>
              <c:f>Sheet17!$D$38:$D$48</c:f>
              <c:numCache>
                <c:formatCode>0%</c:formatCode>
                <c:ptCount val="9"/>
                <c:pt idx="0">
                  <c:v>0.30656934306569344</c:v>
                </c:pt>
                <c:pt idx="1">
                  <c:v>0.21897810218978103</c:v>
                </c:pt>
                <c:pt idx="2">
                  <c:v>0.24087591240875914</c:v>
                </c:pt>
                <c:pt idx="3">
                  <c:v>0.32846715328467152</c:v>
                </c:pt>
                <c:pt idx="4">
                  <c:v>0.25547445255474455</c:v>
                </c:pt>
                <c:pt idx="5">
                  <c:v>0.40875912408759124</c:v>
                </c:pt>
                <c:pt idx="6">
                  <c:v>0.35766423357664234</c:v>
                </c:pt>
                <c:pt idx="7">
                  <c:v>0.27007299270072993</c:v>
                </c:pt>
                <c:pt idx="8">
                  <c:v>0.15328467153284672</c:v>
                </c:pt>
              </c:numCache>
              <c:extLst/>
            </c:numRef>
          </c:val>
          <c:extLst>
            <c:ext xmlns:c16="http://schemas.microsoft.com/office/drawing/2014/chart" uri="{C3380CC4-5D6E-409C-BE32-E72D297353CC}">
              <c16:uniqueId val="{00000002-FA49-4EA5-A0F9-925124BD161C}"/>
            </c:ext>
          </c:extLst>
        </c:ser>
        <c:ser>
          <c:idx val="3"/>
          <c:order val="3"/>
          <c:tx>
            <c:strRef>
              <c:f>Sheet17!$E$37</c:f>
              <c:strCache>
                <c:ptCount val="1"/>
                <c:pt idx="0">
                  <c:v>Πάρα πολύ</c:v>
                </c:pt>
              </c:strCache>
            </c:strRef>
          </c:tx>
          <c:spPr>
            <a:solidFill>
              <a:schemeClr val="accent2">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bg1"/>
                    </a:solidFill>
                    <a:latin typeface="Arial Narrow" panose="020B0606020202030204" pitchFamily="34" charset="0"/>
                    <a:ea typeface="+mn-ea"/>
                    <a:cs typeface="+mn-cs"/>
                  </a:defRPr>
                </a:pPr>
                <a:endParaRPr lang="el-G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Sheet17!$A$38:$A$48</c:f>
              <c:strCache>
                <c:ptCount val="9"/>
                <c:pt idx="0">
                  <c:v>Το εργασιακό κόστος</c:v>
                </c:pt>
                <c:pt idx="1">
                  <c:v>Το κόστος χρήματος (π.χ. δανεισμού)</c:v>
                </c:pt>
                <c:pt idx="2">
                  <c:v>Τα κόστη της πανδημίας</c:v>
                </c:pt>
                <c:pt idx="3">
                  <c:v>Οι έμμεσοι φόροι (π.χ. ΦΠΑ)</c:v>
                </c:pt>
                <c:pt idx="4">
                  <c:v>Η νομισματική πολιτική στην Ευρωπαϊκή Ένωση</c:v>
                </c:pt>
                <c:pt idx="5">
                  <c:v>Ο πόλεμος στην Ουκρανία</c:v>
                </c:pt>
                <c:pt idx="6">
                  <c:v>Τα κόστη μεταφορών</c:v>
                </c:pt>
                <c:pt idx="7">
                  <c:v>Οι διεθνείς τιμές των πρώτων υλών</c:v>
                </c:pt>
                <c:pt idx="8">
                  <c:v>Το κόστος ενέργειας</c:v>
                </c:pt>
              </c:strCache>
              <c:extLst/>
            </c:strRef>
          </c:cat>
          <c:val>
            <c:numRef>
              <c:f>Sheet17!$E$38:$E$48</c:f>
              <c:numCache>
                <c:formatCode>0%</c:formatCode>
                <c:ptCount val="9"/>
                <c:pt idx="0">
                  <c:v>3.6496350364963501E-2</c:v>
                </c:pt>
                <c:pt idx="1">
                  <c:v>4.3795620437956206E-2</c:v>
                </c:pt>
                <c:pt idx="2">
                  <c:v>5.1094890510948905E-2</c:v>
                </c:pt>
                <c:pt idx="3">
                  <c:v>7.2992700729927001E-2</c:v>
                </c:pt>
                <c:pt idx="4">
                  <c:v>8.0291970802919707E-2</c:v>
                </c:pt>
                <c:pt idx="5">
                  <c:v>0.47445255474452552</c:v>
                </c:pt>
                <c:pt idx="6">
                  <c:v>0.6058394160583942</c:v>
                </c:pt>
                <c:pt idx="7">
                  <c:v>0.70802919708029199</c:v>
                </c:pt>
                <c:pt idx="8">
                  <c:v>0.84671532846715325</c:v>
                </c:pt>
              </c:numCache>
              <c:extLst/>
            </c:numRef>
          </c:val>
          <c:extLst>
            <c:ext xmlns:c16="http://schemas.microsoft.com/office/drawing/2014/chart" uri="{C3380CC4-5D6E-409C-BE32-E72D297353CC}">
              <c16:uniqueId val="{00000003-FA49-4EA5-A0F9-925124BD161C}"/>
            </c:ext>
          </c:extLst>
        </c:ser>
        <c:dLbls>
          <c:dLblPos val="ctr"/>
          <c:showLegendKey val="0"/>
          <c:showVal val="1"/>
          <c:showCatName val="0"/>
          <c:showSerName val="0"/>
          <c:showPercent val="0"/>
          <c:showBubbleSize val="0"/>
        </c:dLbls>
        <c:gapWidth val="80"/>
        <c:overlap val="100"/>
        <c:axId val="2055268640"/>
        <c:axId val="2055274048"/>
      </c:barChart>
      <c:catAx>
        <c:axId val="20552686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solidFill>
                <a:latin typeface="Arial Narrow" panose="020B0606020202030204" pitchFamily="34" charset="0"/>
                <a:ea typeface="+mn-ea"/>
                <a:cs typeface="+mn-cs"/>
              </a:defRPr>
            </a:pPr>
            <a:endParaRPr lang="el-GR"/>
          </a:p>
        </c:txPr>
        <c:crossAx val="2055274048"/>
        <c:crosses val="autoZero"/>
        <c:auto val="1"/>
        <c:lblAlgn val="ctr"/>
        <c:lblOffset val="100"/>
        <c:noMultiLvlLbl val="0"/>
      </c:catAx>
      <c:valAx>
        <c:axId val="205527404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solidFill>
                <a:latin typeface="Arial Narrow" panose="020B0606020202030204" pitchFamily="34" charset="0"/>
                <a:ea typeface="+mn-ea"/>
                <a:cs typeface="+mn-cs"/>
              </a:defRPr>
            </a:pPr>
            <a:endParaRPr lang="el-GR"/>
          </a:p>
        </c:txPr>
        <c:crossAx val="2055268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Arial Narrow" panose="020B0606020202030204" pitchFamily="34" charset="0"/>
              <a:ea typeface="+mn-ea"/>
              <a:cs typeface="+mn-cs"/>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a:solidFill>
            <a:schemeClr val="tx1"/>
          </a:solidFill>
          <a:latin typeface="Arial Narrow" panose="020B0606020202030204" pitchFamily="34" charset="0"/>
        </a:defRPr>
      </a:pPr>
      <a:endParaRPr lang="el-G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title>
    <c:autoTitleDeleted val="0"/>
    <c:plotArea>
      <c:layout/>
      <c:pieChart>
        <c:varyColors val="1"/>
        <c:ser>
          <c:idx val="0"/>
          <c:order val="0"/>
          <c:tx>
            <c:strRef>
              <c:f>Sheet17!$B$90</c:f>
              <c:strCache>
                <c:ptCount val="1"/>
                <c:pt idx="0">
                  <c:v>Η επιχείρηση σας έχει απορροφήσει μέρος των ανατιμήσεων που έχει λάβει από τους προμηθευτές της;</c:v>
                </c:pt>
              </c:strCache>
            </c:strRef>
          </c:tx>
          <c:spPr>
            <a:solidFill>
              <a:schemeClr val="accent2"/>
            </a:solidFill>
          </c:spPr>
          <c:dPt>
            <c:idx val="0"/>
            <c:bubble3D val="0"/>
            <c:extLst>
              <c:ext xmlns:c16="http://schemas.microsoft.com/office/drawing/2014/chart" uri="{C3380CC4-5D6E-409C-BE32-E72D297353CC}">
                <c16:uniqueId val="{00000000-C8C1-4F27-B572-920237306432}"/>
              </c:ext>
            </c:extLst>
          </c:dPt>
          <c:dPt>
            <c:idx val="1"/>
            <c:bubble3D val="0"/>
            <c:spPr>
              <a:solidFill>
                <a:schemeClr val="bg1">
                  <a:lumMod val="65000"/>
                </a:schemeClr>
              </a:solidFill>
            </c:spPr>
            <c:extLst>
              <c:ext xmlns:c16="http://schemas.microsoft.com/office/drawing/2014/chart" uri="{C3380CC4-5D6E-409C-BE32-E72D297353CC}">
                <c16:uniqueId val="{00000002-C8C1-4F27-B572-920237306432}"/>
              </c:ext>
            </c:extLst>
          </c:dPt>
          <c:dPt>
            <c:idx val="2"/>
            <c:bubble3D val="0"/>
            <c:spPr>
              <a:solidFill>
                <a:schemeClr val="accent1"/>
              </a:solidFill>
            </c:spPr>
            <c:extLst>
              <c:ext xmlns:c16="http://schemas.microsoft.com/office/drawing/2014/chart" uri="{C3380CC4-5D6E-409C-BE32-E72D297353CC}">
                <c16:uniqueId val="{00000004-C8C1-4F27-B572-920237306432}"/>
              </c:ext>
            </c:extLst>
          </c:dPt>
          <c:dPt>
            <c:idx val="3"/>
            <c:bubble3D val="0"/>
            <c:spPr>
              <a:solidFill>
                <a:schemeClr val="accent4"/>
              </a:solidFill>
            </c:spPr>
            <c:extLst>
              <c:ext xmlns:c16="http://schemas.microsoft.com/office/drawing/2014/chart" uri="{C3380CC4-5D6E-409C-BE32-E72D297353CC}">
                <c16:uniqueId val="{00000006-C8C1-4F27-B572-920237306432}"/>
              </c:ext>
            </c:extLst>
          </c:dPt>
          <c:dLbls>
            <c:spPr>
              <a:noFill/>
              <a:ln>
                <a:noFill/>
              </a:ln>
              <a:effectLst/>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Sheet17!$A$91:$A$92</c:f>
              <c:strCache>
                <c:ptCount val="2"/>
                <c:pt idx="0">
                  <c:v>Ναι</c:v>
                </c:pt>
                <c:pt idx="1">
                  <c:v>Όχι</c:v>
                </c:pt>
              </c:strCache>
            </c:strRef>
          </c:cat>
          <c:val>
            <c:numRef>
              <c:f>Sheet17!$B$91:$B$92</c:f>
              <c:numCache>
                <c:formatCode>0%</c:formatCode>
                <c:ptCount val="2"/>
                <c:pt idx="0">
                  <c:v>0.91</c:v>
                </c:pt>
                <c:pt idx="1">
                  <c:v>0.09</c:v>
                </c:pt>
              </c:numCache>
            </c:numRef>
          </c:val>
          <c:extLst>
            <c:ext xmlns:c16="http://schemas.microsoft.com/office/drawing/2014/chart" uri="{C3380CC4-5D6E-409C-BE32-E72D297353CC}">
              <c16:uniqueId val="{00000007-C8C1-4F27-B572-920237306432}"/>
            </c:ext>
          </c:extLst>
        </c:ser>
        <c:dLbls>
          <c:showLegendKey val="0"/>
          <c:showVal val="1"/>
          <c:showCatName val="0"/>
          <c:showSerName val="0"/>
          <c:showPercent val="0"/>
          <c:showBubbleSize val="0"/>
          <c:showLeaderLines val="1"/>
        </c:dLbls>
        <c:firstSliceAng val="0"/>
      </c:pieChart>
    </c:plotArea>
    <c:legend>
      <c:legendPos val="r"/>
      <c:overlay val="0"/>
    </c:legend>
    <c:plotVisOnly val="1"/>
    <c:dispBlanksAs val="gap"/>
    <c:showDLblsOverMax val="0"/>
  </c:chart>
  <c:txPr>
    <a:bodyPr/>
    <a:lstStyle/>
    <a:p>
      <a:pPr>
        <a:defRPr sz="1000">
          <a:latin typeface="Arial Narrow" pitchFamily="34" charset="0"/>
        </a:defRPr>
      </a:pPr>
      <a:endParaRPr lang="el-G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l-GR"/>
              <a:t>Αν ναι, τι ποσοστό της αύξησης έχει απορροφήσει;</a:t>
            </a:r>
            <a:endParaRPr lang="en-US"/>
          </a:p>
        </c:rich>
      </c:tx>
      <c:overlay val="0"/>
    </c:title>
    <c:autoTitleDeleted val="0"/>
    <c:plotArea>
      <c:layout/>
      <c:pieChart>
        <c:varyColors val="1"/>
        <c:ser>
          <c:idx val="0"/>
          <c:order val="0"/>
          <c:tx>
            <c:strRef>
              <c:f>Sheet17!$B$94</c:f>
              <c:strCache>
                <c:ptCount val="1"/>
                <c:pt idx="0">
                  <c:v>Αν ναι, τι ποσοστό της αύξησης έχει απορροφήσει;</c:v>
                </c:pt>
              </c:strCache>
            </c:strRef>
          </c:tx>
          <c:dPt>
            <c:idx val="0"/>
            <c:bubble3D val="0"/>
            <c:spPr>
              <a:solidFill>
                <a:schemeClr val="accent1">
                  <a:lumMod val="50000"/>
                </a:schemeClr>
              </a:solidFill>
            </c:spPr>
            <c:extLst>
              <c:ext xmlns:c16="http://schemas.microsoft.com/office/drawing/2014/chart" uri="{C3380CC4-5D6E-409C-BE32-E72D297353CC}">
                <c16:uniqueId val="{00000001-D296-4E9F-AC5A-FCB101EEE0E3}"/>
              </c:ext>
            </c:extLst>
          </c:dPt>
          <c:dPt>
            <c:idx val="1"/>
            <c:bubble3D val="0"/>
            <c:spPr>
              <a:solidFill>
                <a:schemeClr val="accent1">
                  <a:lumMod val="75000"/>
                </a:schemeClr>
              </a:solidFill>
            </c:spPr>
            <c:extLst>
              <c:ext xmlns:c16="http://schemas.microsoft.com/office/drawing/2014/chart" uri="{C3380CC4-5D6E-409C-BE32-E72D297353CC}">
                <c16:uniqueId val="{00000003-D296-4E9F-AC5A-FCB101EEE0E3}"/>
              </c:ext>
            </c:extLst>
          </c:dPt>
          <c:dPt>
            <c:idx val="2"/>
            <c:bubble3D val="0"/>
            <c:spPr>
              <a:solidFill>
                <a:schemeClr val="accent1"/>
              </a:solidFill>
            </c:spPr>
            <c:extLst>
              <c:ext xmlns:c16="http://schemas.microsoft.com/office/drawing/2014/chart" uri="{C3380CC4-5D6E-409C-BE32-E72D297353CC}">
                <c16:uniqueId val="{00000005-D296-4E9F-AC5A-FCB101EEE0E3}"/>
              </c:ext>
            </c:extLst>
          </c:dPt>
          <c:dPt>
            <c:idx val="3"/>
            <c:bubble3D val="0"/>
            <c:spPr>
              <a:solidFill>
                <a:schemeClr val="accent1">
                  <a:lumMod val="60000"/>
                  <a:lumOff val="40000"/>
                </a:schemeClr>
              </a:solidFill>
            </c:spPr>
            <c:extLst>
              <c:ext xmlns:c16="http://schemas.microsoft.com/office/drawing/2014/chart" uri="{C3380CC4-5D6E-409C-BE32-E72D297353CC}">
                <c16:uniqueId val="{00000007-D296-4E9F-AC5A-FCB101EEE0E3}"/>
              </c:ext>
            </c:extLst>
          </c:dPt>
          <c:dPt>
            <c:idx val="4"/>
            <c:bubble3D val="0"/>
            <c:spPr>
              <a:solidFill>
                <a:schemeClr val="bg1">
                  <a:lumMod val="75000"/>
                </a:schemeClr>
              </a:solidFill>
            </c:spPr>
            <c:extLst>
              <c:ext xmlns:c16="http://schemas.microsoft.com/office/drawing/2014/chart" uri="{C3380CC4-5D6E-409C-BE32-E72D297353CC}">
                <c16:uniqueId val="{00000009-D296-4E9F-AC5A-FCB101EEE0E3}"/>
              </c:ext>
            </c:extLst>
          </c:dPt>
          <c:dPt>
            <c:idx val="5"/>
            <c:bubble3D val="0"/>
            <c:spPr>
              <a:solidFill>
                <a:schemeClr val="accent2">
                  <a:lumMod val="60000"/>
                  <a:lumOff val="40000"/>
                </a:schemeClr>
              </a:solidFill>
            </c:spPr>
            <c:extLst>
              <c:ext xmlns:c16="http://schemas.microsoft.com/office/drawing/2014/chart" uri="{C3380CC4-5D6E-409C-BE32-E72D297353CC}">
                <c16:uniqueId val="{0000000B-D296-4E9F-AC5A-FCB101EEE0E3}"/>
              </c:ext>
            </c:extLst>
          </c:dPt>
          <c:dPt>
            <c:idx val="6"/>
            <c:bubble3D val="0"/>
            <c:spPr>
              <a:solidFill>
                <a:schemeClr val="accent2">
                  <a:lumMod val="60000"/>
                  <a:lumOff val="40000"/>
                </a:schemeClr>
              </a:solidFill>
            </c:spPr>
            <c:extLst>
              <c:ext xmlns:c16="http://schemas.microsoft.com/office/drawing/2014/chart" uri="{C3380CC4-5D6E-409C-BE32-E72D297353CC}">
                <c16:uniqueId val="{0000000D-D296-4E9F-AC5A-FCB101EEE0E3}"/>
              </c:ext>
            </c:extLst>
          </c:dPt>
          <c:dPt>
            <c:idx val="7"/>
            <c:bubble3D val="0"/>
            <c:spPr>
              <a:solidFill>
                <a:schemeClr val="accent2"/>
              </a:solidFill>
            </c:spPr>
            <c:extLst>
              <c:ext xmlns:c16="http://schemas.microsoft.com/office/drawing/2014/chart" uri="{C3380CC4-5D6E-409C-BE32-E72D297353CC}">
                <c16:uniqueId val="{0000000F-D296-4E9F-AC5A-FCB101EEE0E3}"/>
              </c:ext>
            </c:extLst>
          </c:dPt>
          <c:dPt>
            <c:idx val="8"/>
            <c:bubble3D val="0"/>
            <c:spPr>
              <a:solidFill>
                <a:schemeClr val="accent2">
                  <a:lumMod val="75000"/>
                </a:schemeClr>
              </a:solidFill>
            </c:spPr>
            <c:extLst>
              <c:ext xmlns:c16="http://schemas.microsoft.com/office/drawing/2014/chart" uri="{C3380CC4-5D6E-409C-BE32-E72D297353CC}">
                <c16:uniqueId val="{00000011-D296-4E9F-AC5A-FCB101EEE0E3}"/>
              </c:ext>
            </c:extLst>
          </c:dPt>
          <c:dPt>
            <c:idx val="9"/>
            <c:bubble3D val="0"/>
            <c:spPr>
              <a:solidFill>
                <a:schemeClr val="accent2">
                  <a:lumMod val="50000"/>
                </a:schemeClr>
              </a:solidFill>
            </c:spPr>
            <c:extLst>
              <c:ext xmlns:c16="http://schemas.microsoft.com/office/drawing/2014/chart" uri="{C3380CC4-5D6E-409C-BE32-E72D297353CC}">
                <c16:uniqueId val="{00000013-D296-4E9F-AC5A-FCB101EEE0E3}"/>
              </c:ext>
            </c:extLst>
          </c:dPt>
          <c:dLbls>
            <c:spPr>
              <a:noFill/>
              <a:ln>
                <a:noFill/>
              </a:ln>
              <a:effectLst/>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Sheet17!$A$95:$A$100</c:f>
              <c:strCache>
                <c:ptCount val="6"/>
                <c:pt idx="0">
                  <c:v>100% όλη την αύξηση</c:v>
                </c:pt>
                <c:pt idx="1">
                  <c:v>75-100%</c:v>
                </c:pt>
                <c:pt idx="2">
                  <c:v>50-75%</c:v>
                </c:pt>
                <c:pt idx="3">
                  <c:v>25-50%</c:v>
                </c:pt>
                <c:pt idx="4">
                  <c:v>10-25%</c:v>
                </c:pt>
                <c:pt idx="5">
                  <c:v>Έως 10%</c:v>
                </c:pt>
              </c:strCache>
            </c:strRef>
          </c:cat>
          <c:val>
            <c:numRef>
              <c:f>Sheet17!$B$95:$B$100</c:f>
              <c:numCache>
                <c:formatCode>0%</c:formatCode>
                <c:ptCount val="6"/>
                <c:pt idx="0">
                  <c:v>2.5000000000000001E-2</c:v>
                </c:pt>
                <c:pt idx="1">
                  <c:v>3.4000000000000002E-2</c:v>
                </c:pt>
                <c:pt idx="2">
                  <c:v>0.14399999999999999</c:v>
                </c:pt>
                <c:pt idx="3">
                  <c:v>0.27100000000000002</c:v>
                </c:pt>
                <c:pt idx="4">
                  <c:v>0.26300000000000001</c:v>
                </c:pt>
                <c:pt idx="5">
                  <c:v>0.26300000000000001</c:v>
                </c:pt>
              </c:numCache>
            </c:numRef>
          </c:val>
          <c:extLst>
            <c:ext xmlns:c16="http://schemas.microsoft.com/office/drawing/2014/chart" uri="{C3380CC4-5D6E-409C-BE32-E72D297353CC}">
              <c16:uniqueId val="{00000014-D296-4E9F-AC5A-FCB101EEE0E3}"/>
            </c:ext>
          </c:extLst>
        </c:ser>
        <c:dLbls>
          <c:showLegendKey val="0"/>
          <c:showVal val="1"/>
          <c:showCatName val="0"/>
          <c:showSerName val="0"/>
          <c:showPercent val="0"/>
          <c:showBubbleSize val="0"/>
          <c:showLeaderLines val="1"/>
        </c:dLbls>
        <c:firstSliceAng val="0"/>
      </c:pieChart>
    </c:plotArea>
    <c:legend>
      <c:legendPos val="r"/>
      <c:layout>
        <c:manualLayout>
          <c:xMode val="edge"/>
          <c:yMode val="edge"/>
          <c:x val="0.63836477987421381"/>
          <c:y val="0.3770429351148693"/>
          <c:w val="0.34276729559748426"/>
          <c:h val="0.60931888658912969"/>
        </c:manualLayout>
      </c:layout>
      <c:overlay val="0"/>
    </c:legend>
    <c:plotVisOnly val="1"/>
    <c:dispBlanksAs val="gap"/>
    <c:showDLblsOverMax val="0"/>
  </c:chart>
  <c:txPr>
    <a:bodyPr/>
    <a:lstStyle/>
    <a:p>
      <a:pPr>
        <a:defRPr sz="1000">
          <a:latin typeface="Arial Narrow" pitchFamily="34" charset="0"/>
        </a:defRPr>
      </a:pPr>
      <a:endParaRPr lang="el-G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Arial Narrow" panose="020B0606020202030204" pitchFamily="34" charset="0"/>
                <a:ea typeface="+mn-ea"/>
                <a:cs typeface="+mn-cs"/>
              </a:defRPr>
            </a:pPr>
            <a:r>
              <a:rPr lang="el-GR"/>
              <a:t>Πως αξιολογείτε τις αρνητικές επιπτώσεις της κρίσης (πανδημία</a:t>
            </a:r>
            <a:r>
              <a:rPr lang="el-GR" sz="1200" b="0" i="0" u="none" strike="noStrike" baseline="0">
                <a:solidFill>
                  <a:schemeClr val="accent1">
                    <a:lumMod val="40000"/>
                    <a:lumOff val="60000"/>
                  </a:schemeClr>
                </a:solidFill>
                <a:effectLst/>
                <a:sym typeface="Webdings" panose="05030102010509060703" pitchFamily="18" charset="2"/>
              </a:rPr>
              <a:t></a:t>
            </a:r>
            <a:r>
              <a:rPr lang="el-GR" sz="1200" b="0" i="0" u="none" strike="noStrike" baseline="0">
                <a:solidFill>
                  <a:schemeClr val="accent1">
                    <a:lumMod val="60000"/>
                    <a:lumOff val="40000"/>
                  </a:schemeClr>
                </a:solidFill>
                <a:effectLst/>
                <a:sym typeface="Webdings" panose="05030102010509060703" pitchFamily="18" charset="2"/>
              </a:rPr>
              <a:t></a:t>
            </a:r>
            <a:r>
              <a:rPr lang="el-GR" sz="1200" b="0" i="0" u="none" strike="noStrike" baseline="0">
                <a:solidFill>
                  <a:schemeClr val="accent1"/>
                </a:solidFill>
                <a:effectLst/>
                <a:sym typeface="Webdings" panose="05030102010509060703" pitchFamily="18" charset="2"/>
              </a:rPr>
              <a:t></a:t>
            </a:r>
            <a:r>
              <a:rPr lang="el-GR"/>
              <a:t>/πόλεμος</a:t>
            </a:r>
            <a:r>
              <a:rPr lang="el-GR" sz="1200" b="0" i="0" u="none" strike="noStrike" baseline="0">
                <a:solidFill>
                  <a:schemeClr val="accent2"/>
                </a:solidFill>
                <a:effectLst/>
                <a:sym typeface="Webdings" panose="05030102010509060703" pitchFamily="18" charset="2"/>
              </a:rPr>
              <a:t></a:t>
            </a:r>
            <a:r>
              <a:rPr lang="el-GR"/>
              <a:t>) στην εταιρεία σας; Βαθμολογήστε από 1 (πολύ μικρή) έως 10 (πολύ μεγάλη)</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Arial Narrow" panose="020B0606020202030204" pitchFamily="34" charset="0"/>
              <a:ea typeface="+mn-ea"/>
              <a:cs typeface="+mn-cs"/>
            </a:defRPr>
          </a:pPr>
          <a:endParaRPr lang="el-GR"/>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1">
                  <a:lumMod val="40000"/>
                  <a:lumOff val="60000"/>
                </a:schemeClr>
              </a:solidFill>
              <a:ln>
                <a:noFill/>
              </a:ln>
              <a:effectLst/>
            </c:spPr>
            <c:extLst>
              <c:ext xmlns:c16="http://schemas.microsoft.com/office/drawing/2014/chart" uri="{C3380CC4-5D6E-409C-BE32-E72D297353CC}">
                <c16:uniqueId val="{00000001-CB02-4474-ABFE-86D206CFBC6A}"/>
              </c:ext>
            </c:extLst>
          </c:dPt>
          <c:dPt>
            <c:idx val="1"/>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03-CB02-4474-ABFE-86D206CFBC6A}"/>
              </c:ext>
            </c:extLst>
          </c:dPt>
          <c:dPt>
            <c:idx val="3"/>
            <c:invertIfNegative val="0"/>
            <c:bubble3D val="0"/>
            <c:spPr>
              <a:solidFill>
                <a:schemeClr val="accent2"/>
              </a:solidFill>
              <a:ln>
                <a:noFill/>
              </a:ln>
              <a:effectLst/>
            </c:spPr>
            <c:extLst>
              <c:ext xmlns:c16="http://schemas.microsoft.com/office/drawing/2014/chart" uri="{C3380CC4-5D6E-409C-BE32-E72D297353CC}">
                <c16:uniqueId val="{00000005-CB02-4474-ABFE-86D206CFBC6A}"/>
              </c:ext>
            </c:extLst>
          </c:dPt>
          <c:dLbls>
            <c:dLbl>
              <c:idx val="0"/>
              <c:tx>
                <c:rich>
                  <a:bodyPr/>
                  <a:lstStyle/>
                  <a:p>
                    <a:fld id="{5FF14297-BFA0-48A6-AF73-780036AAE715}" type="VALUE">
                      <a:rPr lang="en-US" smtClean="0"/>
                      <a:pPr/>
                      <a:t>[VALUE]</a:t>
                    </a:fld>
                    <a:endParaRPr lang="el-G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B02-4474-ABFE-86D206CFBC6A}"/>
                </c:ext>
              </c:extLst>
            </c:dLbl>
            <c:dLbl>
              <c:idx val="1"/>
              <c:tx>
                <c:rich>
                  <a:bodyPr/>
                  <a:lstStyle/>
                  <a:p>
                    <a:fld id="{79D8F0AE-EE41-40E7-84AF-A272C5EB443B}" type="VALUE">
                      <a:rPr lang="en-US" smtClean="0"/>
                      <a:pPr/>
                      <a:t>[VALUE]</a:t>
                    </a:fld>
                    <a:endParaRPr lang="el-G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B02-4474-ABFE-86D206CFBC6A}"/>
                </c:ext>
              </c:extLst>
            </c:dLbl>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Narrow" panose="020B0606020202030204" pitchFamily="34" charset="0"/>
                    <a:ea typeface="+mn-ea"/>
                    <a:cs typeface="+mn-cs"/>
                  </a:defRPr>
                </a:pPr>
                <a:endParaRPr lang="el-G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Sheet6!$G$3:$G$6</c:f>
              <c:numCache>
                <c:formatCode>mmm\-yy</c:formatCode>
                <c:ptCount val="4"/>
                <c:pt idx="0">
                  <c:v>44136</c:v>
                </c:pt>
                <c:pt idx="1">
                  <c:v>44228</c:v>
                </c:pt>
                <c:pt idx="2">
                  <c:v>44440</c:v>
                </c:pt>
                <c:pt idx="3">
                  <c:v>44682</c:v>
                </c:pt>
              </c:numCache>
            </c:numRef>
          </c:cat>
          <c:val>
            <c:numRef>
              <c:f>Sheet6!$H$3:$H$6</c:f>
              <c:numCache>
                <c:formatCode>0.00</c:formatCode>
                <c:ptCount val="4"/>
                <c:pt idx="0">
                  <c:v>4.7549999999999999</c:v>
                </c:pt>
                <c:pt idx="1">
                  <c:v>4.4660000000000002</c:v>
                </c:pt>
                <c:pt idx="2">
                  <c:v>4.2240000000000002</c:v>
                </c:pt>
                <c:pt idx="3">
                  <c:v>6.28</c:v>
                </c:pt>
              </c:numCache>
            </c:numRef>
          </c:val>
          <c:extLst>
            <c:ext xmlns:c16="http://schemas.microsoft.com/office/drawing/2014/chart" uri="{C3380CC4-5D6E-409C-BE32-E72D297353CC}">
              <c16:uniqueId val="{00000006-CB02-4474-ABFE-86D206CFBC6A}"/>
            </c:ext>
          </c:extLst>
        </c:ser>
        <c:dLbls>
          <c:dLblPos val="outEnd"/>
          <c:showLegendKey val="0"/>
          <c:showVal val="1"/>
          <c:showCatName val="0"/>
          <c:showSerName val="0"/>
          <c:showPercent val="0"/>
          <c:showBubbleSize val="0"/>
        </c:dLbls>
        <c:gapWidth val="120"/>
        <c:overlap val="-27"/>
        <c:axId val="148589888"/>
        <c:axId val="148608192"/>
      </c:barChart>
      <c:catAx>
        <c:axId val="148589888"/>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Arial Narrow" panose="020B0606020202030204" pitchFamily="34" charset="0"/>
                <a:ea typeface="+mn-ea"/>
                <a:cs typeface="+mn-cs"/>
              </a:defRPr>
            </a:pPr>
            <a:endParaRPr lang="el-GR"/>
          </a:p>
        </c:txPr>
        <c:crossAx val="148608192"/>
        <c:crosses val="autoZero"/>
        <c:auto val="0"/>
        <c:lblAlgn val="ctr"/>
        <c:lblOffset val="100"/>
        <c:noMultiLvlLbl val="0"/>
      </c:catAx>
      <c:valAx>
        <c:axId val="148608192"/>
        <c:scaling>
          <c:orientation val="minMax"/>
          <c:max val="10"/>
          <c:min val="1"/>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Arial Narrow" panose="020B0606020202030204" pitchFamily="34" charset="0"/>
                <a:ea typeface="+mn-ea"/>
                <a:cs typeface="+mn-cs"/>
              </a:defRPr>
            </a:pPr>
            <a:endParaRPr lang="el-GR"/>
          </a:p>
        </c:txPr>
        <c:crossAx val="148589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solidFill>
            <a:schemeClr val="tx1"/>
          </a:solidFill>
          <a:latin typeface="Arial Narrow" panose="020B0606020202030204" pitchFamily="34" charset="0"/>
        </a:defRPr>
      </a:pPr>
      <a:endParaRPr lang="el-G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0C1D9-3C69-4587-97C8-48B6EE20B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4</Pages>
  <Words>809</Words>
  <Characters>4369</Characters>
  <Application>Microsoft Office Word</Application>
  <DocSecurity>0</DocSecurity>
  <Lines>36</Lines>
  <Paragraphs>10</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AUEB</Company>
  <LinksUpToDate>false</LinksUpToDate>
  <CharactersWithSpaces>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Leftak</dc:creator>
  <cp:keywords/>
  <dc:description/>
  <cp:lastModifiedBy>Λευτέρης Κιοσές</cp:lastModifiedBy>
  <cp:revision>10</cp:revision>
  <cp:lastPrinted>2022-07-03T09:15:00Z</cp:lastPrinted>
  <dcterms:created xsi:type="dcterms:W3CDTF">2022-07-03T08:44:00Z</dcterms:created>
  <dcterms:modified xsi:type="dcterms:W3CDTF">2022-07-04T06:03:00Z</dcterms:modified>
</cp:coreProperties>
</file>